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Disclosure Schedules: Aufbau, Verweistechnik und Qualifizierung</w:t>
      </w:r>
    </w:p>
    <w:p>
      <w:pPr>
        <w:jc w:val="left"/>
      </w:pPr>
      <w:r>
        <w:rPr>
          <w:b/>
        </w:rPr>
        <w:t>AZ:</w:t>
      </w:r>
      <w:r>
        <w:t xml:space="preserve"> MR-2026-DR-0717</w:t>
      </w:r>
    </w:p>
    <w:p>
      <w:pPr>
        <w:jc w:val="left"/>
      </w:pPr>
      <w:r>
        <w:rPr>
          <w:b/>
        </w:rPr>
        <w:t>Datum:</w:t>
      </w:r>
      <w:r>
        <w:t xml:space="preserve"> 22. September 2026</w:t>
      </w:r>
    </w:p>
    <w:p>
      <w:pPr>
        <w:jc w:val="left"/>
      </w:pPr>
      <w:r>
        <w:rPr>
          <w:b/>
        </w:rPr>
        <w:t>Bearbeiter:</w:t>
      </w:r>
      <w:r>
        <w:t xml:space="preserve"> Senior Associate Dr. (iur.) Mira Pohlmann</w:t>
      </w:r>
    </w:p>
    <w:p/>
    <w:p>
      <w:pPr>
        <w:pStyle w:val="Heading2"/>
      </w:pPr>
      <w:r>
        <w:rPr>
          <w:rFonts w:ascii="Times New Roman" w:hAnsi="Times New Roman"/>
        </w:rPr>
        <w:t>Funktion der Disclosure Schedules</w:t>
      </w:r>
    </w:p>
    <w:p>
      <w:pPr>
        <w:jc w:val="left"/>
      </w:pPr>
      <w:r>
        <w:t>Disclosure Schedules (DS) sind Anlagen zum SPA, in denen der Verkäufer Ausnahmen von seinen Garantien und Warranties offenlegt. Korrekt ausgefüllte DS bewirken, dass der Verkäufer für bekannte Sachverhalte nicht aus den entsprechenden Warranties haftet (Disclosed Matter-Prinzip).</w:t>
      </w:r>
    </w:p>
    <w:p/>
    <w:p>
      <w:pPr>
        <w:pStyle w:val="Heading2"/>
      </w:pPr>
      <w:r>
        <w:rPr>
          <w:rFonts w:ascii="Times New Roman" w:hAnsi="Times New Roman"/>
        </w:rPr>
        <w:t>Aufbau der Disclosure Schedules</w:t>
      </w:r>
    </w:p>
    <w:p>
      <w:pPr>
        <w:pStyle w:val="Heading3"/>
      </w:pPr>
      <w:r>
        <w:rPr>
          <w:rFonts w:ascii="Times New Roman" w:hAnsi="Times New Roman"/>
        </w:rPr>
        <w:t>General Disclosure Letter</w:t>
      </w:r>
    </w:p>
    <w:p>
      <w:pPr>
        <w:jc w:val="left"/>
      </w:pPr>
      <w:r>
        <w:t>Vorgeschaltet: ein allgemeiner Disclosure-Brief (General Disclosure Letter — GDL), der allgemeine Offenlegungen für alle oder mehrere Warranties gilt. Beispielsweise:</w:t>
      </w:r>
    </w:p>
    <w:p>
      <w:pPr>
        <w:jc w:val="left"/>
      </w:pPr>
      <w:r>
        <w:t>"Als allgemeine Offenlegung für alle Warranties gilt: Sämtliche im Datenraum (Intralinks, Stand 30.09.2026) enthaltenen Dokumente und Informationen sind dem Käufer vollständig bekannt gemacht. Käufer kann sich nicht auf Unkenntnis von im Datenraum enthaltenen Tatsachen berufen."</w:t>
      </w:r>
    </w:p>
    <w:p>
      <w:pPr>
        <w:jc w:val="left"/>
      </w:pPr>
      <w:r>
        <w:rPr>
          <w:b/>
        </w:rPr>
        <w:t>Risiko des GDL:</w:t>
      </w:r>
      <w:r>
        <w:t xml:space="preserve"> Zu weit gefasste GDL-Klauseln können die Warranties weitgehend entwerten, wenn alles im Datenraum Enthaltene als disclosed gilt. Käufer wird enge GDL-Formulierung verlangen.</w:t>
      </w:r>
    </w:p>
    <w:p>
      <w:pPr>
        <w:jc w:val="left"/>
      </w:pPr>
      <w:r>
        <w:rPr>
          <w:b/>
        </w:rPr>
        <w:t>Kompromiss:</w:t>
      </w:r>
      <w:r>
        <w:t xml:space="preserve"> GDL nur für klar identifizierte Kategorien (z.B. öffentlich zugängliche Informationen, Registereinträge); detaillierte Offenlegungen in spezifischen Schedules.</w:t>
      </w:r>
    </w:p>
    <w:p>
      <w:pPr>
        <w:pStyle w:val="Heading3"/>
      </w:pPr>
      <w:r>
        <w:rPr>
          <w:rFonts w:ascii="Times New Roman" w:hAnsi="Times New Roman"/>
        </w:rPr>
        <w:t>Spezifische Disclosure Schedules (DS 4.01 bis DS 4.47)</w:t>
      </w:r>
    </w:p>
    <w:p>
      <w:pPr>
        <w:jc w:val="left"/>
      </w:pPr>
      <w:r>
        <w:t>Jede Warranty erhält eine korrespondierende Schedule-Nummer: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Schedule</w:t>
            </w:r>
          </w:p>
        </w:tc>
        <w:tc>
          <w:tcPr>
            <w:tcW w:type="dxa" w:w="3024"/>
          </w:tcPr>
          <w:p>
            <w:r>
              <w:rPr>
                <w:rFonts w:ascii="Times New Roman" w:hAnsi="Times New Roman"/>
                <w:b/>
                <w:sz w:val="20"/>
              </w:rPr>
              <w:t>Warranty</w:t>
            </w:r>
          </w:p>
        </w:tc>
        <w:tc>
          <w:tcPr>
            <w:tcW w:type="dxa" w:w="3024"/>
          </w:tcPr>
          <w:p>
            <w:r>
              <w:rPr>
                <w:rFonts w:ascii="Times New Roman" w:hAnsi="Times New Roman"/>
                <w:b/>
                <w:sz w:val="20"/>
              </w:rPr>
              <w:t>Inhalt</w:t>
            </w:r>
          </w:p>
        </w:tc>
      </w:tr>
      <w:tr>
        <w:tc>
          <w:tcPr>
            <w:tcW w:type="dxa" w:w="3024"/>
          </w:tcPr>
          <w:p>
            <w:r>
              <w:rPr>
                <w:rFonts w:ascii="Times New Roman" w:hAnsi="Times New Roman"/>
                <w:sz w:val="20"/>
              </w:rPr>
              <w:t>DS 4.01</w:t>
            </w:r>
          </w:p>
        </w:tc>
        <w:tc>
          <w:tcPr>
            <w:tcW w:type="dxa" w:w="3024"/>
          </w:tcPr>
          <w:p>
            <w:r>
              <w:rPr>
                <w:rFonts w:ascii="Times New Roman" w:hAnsi="Times New Roman"/>
                <w:sz w:val="20"/>
              </w:rPr>
              <w:t>GmbH-Gründung und Bestand</w:t>
            </w:r>
          </w:p>
        </w:tc>
        <w:tc>
          <w:tcPr>
            <w:tcW w:type="dxa" w:w="3024"/>
          </w:tcPr>
          <w:p>
            <w:r>
              <w:rPr>
                <w:rFonts w:ascii="Times New Roman" w:hAnsi="Times New Roman"/>
                <w:sz w:val="20"/>
              </w:rPr>
              <w:t>Handelsregisterauszug, Gesellschaftsvertrag</w:t>
            </w:r>
          </w:p>
        </w:tc>
      </w:tr>
      <w:tr>
        <w:tc>
          <w:tcPr>
            <w:tcW w:type="dxa" w:w="3024"/>
          </w:tcPr>
          <w:p>
            <w:r>
              <w:rPr>
                <w:rFonts w:ascii="Times New Roman" w:hAnsi="Times New Roman"/>
                <w:sz w:val="20"/>
              </w:rPr>
              <w:t>DS 4.11</w:t>
            </w:r>
          </w:p>
        </w:tc>
        <w:tc>
          <w:tcPr>
            <w:tcW w:type="dxa" w:w="3024"/>
          </w:tcPr>
          <w:p>
            <w:r>
              <w:rPr>
                <w:rFonts w:ascii="Times New Roman" w:hAnsi="Times New Roman"/>
                <w:sz w:val="20"/>
              </w:rPr>
              <w:t>Genehmigungen Solarpark</w:t>
            </w:r>
          </w:p>
        </w:tc>
        <w:tc>
          <w:tcPr>
            <w:tcW w:type="dxa" w:w="3024"/>
          </w:tcPr>
          <w:p>
            <w:r>
              <w:rPr>
                <w:rFonts w:ascii="Times New Roman" w:hAnsi="Times New Roman"/>
                <w:sz w:val="20"/>
              </w:rPr>
              <w:t>Liste aller Genehmigungen, ausstehende Erneuerungen</w:t>
            </w:r>
          </w:p>
        </w:tc>
      </w:tr>
      <w:tr>
        <w:tc>
          <w:tcPr>
            <w:tcW w:type="dxa" w:w="3024"/>
          </w:tcPr>
          <w:p>
            <w:r>
              <w:rPr>
                <w:rFonts w:ascii="Times New Roman" w:hAnsi="Times New Roman"/>
                <w:sz w:val="20"/>
              </w:rPr>
              <w:t>DS 4.12</w:t>
            </w:r>
          </w:p>
        </w:tc>
        <w:tc>
          <w:tcPr>
            <w:tcW w:type="dxa" w:w="3024"/>
          </w:tcPr>
          <w:p>
            <w:r>
              <w:rPr>
                <w:rFonts w:ascii="Times New Roman" w:hAnsi="Times New Roman"/>
                <w:sz w:val="20"/>
              </w:rPr>
              <w:t>Umweltverpflichtungen Grundstueck</w:t>
            </w:r>
          </w:p>
        </w:tc>
        <w:tc>
          <w:tcPr>
            <w:tcW w:type="dxa" w:w="3024"/>
          </w:tcPr>
          <w:p>
            <w:r>
              <w:rPr>
                <w:rFonts w:ascii="Times New Roman" w:hAnsi="Times New Roman"/>
                <w:sz w:val="20"/>
              </w:rPr>
              <w:t>Altlastenauskunft, Grundbuchteilauszug</w:t>
            </w:r>
          </w:p>
        </w:tc>
      </w:tr>
      <w:tr>
        <w:tc>
          <w:tcPr>
            <w:tcW w:type="dxa" w:w="3024"/>
          </w:tcPr>
          <w:p>
            <w:r>
              <w:rPr>
                <w:rFonts w:ascii="Times New Roman" w:hAnsi="Times New Roman"/>
                <w:sz w:val="20"/>
              </w:rPr>
              <w:t>DS 4.22</w:t>
            </w:r>
          </w:p>
        </w:tc>
        <w:tc>
          <w:tcPr>
            <w:tcW w:type="dxa" w:w="3024"/>
          </w:tcPr>
          <w:p>
            <w:r>
              <w:rPr>
                <w:rFonts w:ascii="Times New Roman" w:hAnsi="Times New Roman"/>
                <w:sz w:val="20"/>
              </w:rPr>
              <w:t>Laufende Rechtsstreitigkeiten</w:t>
            </w:r>
          </w:p>
        </w:tc>
        <w:tc>
          <w:tcPr>
            <w:tcW w:type="dxa" w:w="3024"/>
          </w:tcPr>
          <w:p>
            <w:r>
              <w:rPr>
                <w:rFonts w:ascii="Times New Roman" w:hAnsi="Times New Roman"/>
                <w:sz w:val="20"/>
              </w:rPr>
              <w:t>Keine aktuell; Archiv-Verfahren 2022 eingestellt</w:t>
            </w:r>
          </w:p>
        </w:tc>
      </w:tr>
      <w:tr>
        <w:tc>
          <w:tcPr>
            <w:tcW w:type="dxa" w:w="3024"/>
          </w:tcPr>
          <w:p>
            <w:r>
              <w:rPr>
                <w:rFonts w:ascii="Times New Roman" w:hAnsi="Times New Roman"/>
                <w:sz w:val="20"/>
              </w:rPr>
              <w:t>DS 4.23</w:t>
            </w:r>
          </w:p>
        </w:tc>
        <w:tc>
          <w:tcPr>
            <w:tcW w:type="dxa" w:w="3024"/>
          </w:tcPr>
          <w:p>
            <w:r>
              <w:rPr>
                <w:rFonts w:ascii="Times New Roman" w:hAnsi="Times New Roman"/>
                <w:sz w:val="20"/>
              </w:rPr>
              <w:t>Behördenbescheide ausstehend</w:t>
            </w:r>
          </w:p>
        </w:tc>
        <w:tc>
          <w:tcPr>
            <w:tcW w:type="dxa" w:w="3024"/>
          </w:tcPr>
          <w:p>
            <w:r>
              <w:rPr>
                <w:rFonts w:ascii="Times New Roman" w:hAnsi="Times New Roman"/>
                <w:sz w:val="20"/>
              </w:rPr>
              <w:t>Nachgenehmigung Erweiterungsfläche (5 ha) beantragt</w:t>
            </w:r>
          </w:p>
        </w:tc>
      </w:tr>
      <w:tr>
        <w:tc>
          <w:tcPr>
            <w:tcW w:type="dxa" w:w="3024"/>
          </w:tcPr>
          <w:p>
            <w:r>
              <w:rPr>
                <w:rFonts w:ascii="Times New Roman" w:hAnsi="Times New Roman"/>
                <w:sz w:val="20"/>
              </w:rPr>
              <w:t>DS 4.31</w:t>
            </w:r>
          </w:p>
        </w:tc>
        <w:tc>
          <w:tcPr>
            <w:tcW w:type="dxa" w:w="3024"/>
          </w:tcPr>
          <w:p>
            <w:r>
              <w:rPr>
                <w:rFonts w:ascii="Times New Roman" w:hAnsi="Times New Roman"/>
                <w:sz w:val="20"/>
              </w:rPr>
              <w:t>Steuerliche Warranties</w:t>
            </w:r>
          </w:p>
        </w:tc>
        <w:tc>
          <w:tcPr>
            <w:tcW w:type="dxa" w:w="3024"/>
          </w:tcPr>
          <w:p>
            <w:r>
              <w:rPr>
                <w:rFonts w:ascii="Times New Roman" w:hAnsi="Times New Roman"/>
                <w:sz w:val="20"/>
              </w:rPr>
              <w:t>Betriebspruefung 2019-2021 abgeschlossen; keine Nachforderungen offen</w:t>
            </w:r>
          </w:p>
        </w:tc>
      </w:tr>
      <w:tr>
        <w:tc>
          <w:tcPr>
            <w:tcW w:type="dxa" w:w="3024"/>
          </w:tcPr>
          <w:p>
            <w:r>
              <w:rPr>
                <w:rFonts w:ascii="Times New Roman" w:hAnsi="Times New Roman"/>
                <w:sz w:val="20"/>
              </w:rPr>
              <w:t>DS 4.41</w:t>
            </w:r>
          </w:p>
        </w:tc>
        <w:tc>
          <w:tcPr>
            <w:tcW w:type="dxa" w:w="3024"/>
          </w:tcPr>
          <w:p>
            <w:r>
              <w:rPr>
                <w:rFonts w:ascii="Times New Roman" w:hAnsi="Times New Roman"/>
                <w:sz w:val="20"/>
              </w:rPr>
              <w:t>Vollständigkeit Disclosure</w:t>
            </w:r>
          </w:p>
        </w:tc>
        <w:tc>
          <w:tcPr>
            <w:tcW w:type="dxa" w:w="3024"/>
          </w:tcPr>
          <w:p>
            <w:r>
              <w:rPr>
                <w:rFonts w:ascii="Times New Roman" w:hAnsi="Times New Roman"/>
                <w:sz w:val="20"/>
              </w:rPr>
              <w:t>GDL + Datenraum-Referenz</w:t>
            </w:r>
          </w:p>
        </w:tc>
      </w:tr>
      <w:tr>
        <w:tc>
          <w:tcPr>
            <w:tcW w:type="dxa" w:w="3024"/>
          </w:tcPr>
          <w:p>
            <w:r>
              <w:rPr>
                <w:rFonts w:ascii="Times New Roman" w:hAnsi="Times New Roman"/>
                <w:sz w:val="20"/>
              </w:rPr>
              <w:t>DS 4.44</w:t>
            </w:r>
          </w:p>
        </w:tc>
        <w:tc>
          <w:tcPr>
            <w:tcW w:type="dxa" w:w="3024"/>
          </w:tcPr>
          <w:p>
            <w:r>
              <w:rPr>
                <w:rFonts w:ascii="Times New Roman" w:hAnsi="Times New Roman"/>
                <w:sz w:val="20"/>
              </w:rPr>
              <w:t>Arbeitnehmerverhältnisse</w:t>
            </w:r>
          </w:p>
        </w:tc>
        <w:tc>
          <w:tcPr>
            <w:tcW w:type="dxa" w:w="3024"/>
          </w:tcPr>
          <w:p>
            <w:r>
              <w:rPr>
                <w:rFonts w:ascii="Times New Roman" w:hAnsi="Times New Roman"/>
                <w:sz w:val="20"/>
              </w:rPr>
              <w:t>2 Mitarbeiter SPV; Arbeitsverträge beigefügt</w:t>
            </w:r>
          </w:p>
        </w:tc>
      </w:tr>
      <w:tr>
        <w:tc>
          <w:tcPr>
            <w:tcW w:type="dxa" w:w="3024"/>
          </w:tcPr>
          <w:p>
            <w:r>
              <w:rPr>
                <w:rFonts w:ascii="Times New Roman" w:hAnsi="Times New Roman"/>
                <w:sz w:val="20"/>
              </w:rPr>
              <w:t>DS 4.47</w:t>
            </w:r>
          </w:p>
        </w:tc>
        <w:tc>
          <w:tcPr>
            <w:tcW w:type="dxa" w:w="3024"/>
          </w:tcPr>
          <w:p>
            <w:r>
              <w:rPr>
                <w:rFonts w:ascii="Times New Roman" w:hAnsi="Times New Roman"/>
                <w:sz w:val="20"/>
              </w:rPr>
              <w:t>Keine weiteren Verbindlichkeiten</w:t>
            </w:r>
          </w:p>
        </w:tc>
        <w:tc>
          <w:tcPr>
            <w:tcW w:type="dxa" w:w="3024"/>
          </w:tcPr>
          <w:p>
            <w:r>
              <w:rPr>
                <w:rFonts w:ascii="Times New Roman" w:hAnsi="Times New Roman"/>
                <w:sz w:val="20"/>
              </w:rPr>
              <w:t>EIB-Darlehen EUR 12,4 Mio. offengelegt; keine weiteren</w:t>
            </w:r>
          </w:p>
        </w:tc>
      </w:tr>
    </w:tbl>
    <w:p/>
    <w:p>
      <w:pPr>
        <w:pStyle w:val="Heading2"/>
      </w:pPr>
      <w:r>
        <w:rPr>
          <w:rFonts w:ascii="Times New Roman" w:hAnsi="Times New Roman"/>
        </w:rPr>
        <w:t>Verweistechnik</w:t>
      </w:r>
    </w:p>
    <w:p>
      <w:pPr>
        <w:pStyle w:val="Heading3"/>
      </w:pPr>
      <w:r>
        <w:rPr>
          <w:rFonts w:ascii="Times New Roman" w:hAnsi="Times New Roman"/>
        </w:rPr>
        <w:t>Cross-References</w:t>
      </w:r>
    </w:p>
    <w:p>
      <w:pPr>
        <w:jc w:val="left"/>
      </w:pPr>
      <w:r>
        <w:t>Offenlegung in DS 4.12 (Umweltverpflichtungen) kann auf Anlage 3 (Erbbaurechtsvertrag) verweisen:</w:t>
      </w:r>
    </w:p>
    <w:p>
      <w:pPr>
        <w:jc w:val="left"/>
      </w:pPr>
      <w:r>
        <w:t>"In Erweiterung von Schedule 4.12 wird auf Anlage 3 (Erbbaurechtsvertrag) verwiesen; etwaige Verpflichtungen gemäß Abschnitt 7 des Erbbaurechtsvertrages (Rueckgabepflichten) sind als Teil dieser Offenlegung zu lesen."</w:t>
      </w:r>
    </w:p>
    <w:p>
      <w:pPr>
        <w:jc w:val="left"/>
      </w:pPr>
      <w:r>
        <w:rPr>
          <w:b/>
        </w:rPr>
        <w:t>Achtung:</w:t>
      </w:r>
      <w:r>
        <w:t xml:space="preserve"> Verweise müssen präzise sein (Seitennummer, Abschnittsnummer). Unklare Verweise ("wie sich aus dem Datenraum ergibt") werden von Käufer-Kanzlei als nicht-qualifizierend abgelehnt.</w:t>
      </w:r>
    </w:p>
    <w:p>
      <w:pPr>
        <w:pStyle w:val="Heading3"/>
      </w:pPr>
      <w:r>
        <w:rPr>
          <w:rFonts w:ascii="Times New Roman" w:hAnsi="Times New Roman"/>
        </w:rPr>
        <w:t>Qualifizierungswirkung</w:t>
      </w:r>
    </w:p>
    <w:p>
      <w:pPr>
        <w:jc w:val="left"/>
      </w:pPr>
      <w:r>
        <w:t>Eine Offenlegung qualifiziert eine Warranty nur, wenn sie:</w:t>
      </w:r>
    </w:p>
    <w:p>
      <w:pPr>
        <w:pStyle w:val="ListNumber"/>
      </w:pPr>
      <w:r>
        <w:t>Klar und unmissverständlich formuliert ist</w:t>
      </w:r>
    </w:p>
    <w:p>
      <w:pPr>
        <w:pStyle w:val="ListNumber"/>
      </w:pPr>
      <w:r>
        <w:t>Den betreffenden Sachverhalt vollständig beschreibt</w:t>
      </w:r>
    </w:p>
    <w:p>
      <w:pPr>
        <w:pStyle w:val="ListNumber"/>
      </w:pPr>
      <w:r>
        <w:t>In der korrespondierenden Schedule platziert ist (nicht nur im GDL)</w:t>
      </w:r>
    </w:p>
    <w:p/>
    <w:p>
      <w:pPr>
        <w:pStyle w:val="Heading2"/>
      </w:pPr>
      <w:r>
        <w:rPr>
          <w:rFonts w:ascii="Times New Roman" w:hAnsi="Times New Roman"/>
        </w:rPr>
        <w:t>Disclosure Schedule Verwaltung (Prozess)</w:t>
      </w:r>
    </w:p>
    <w:p>
      <w:pPr>
        <w:pStyle w:val="Heading3"/>
      </w:pPr>
      <w:r>
        <w:rPr>
          <w:rFonts w:ascii="Times New Roman" w:hAnsi="Times New Roman"/>
        </w:rPr>
        <w:t>Erstellung (Stand Oktober 2026)</w:t>
      </w:r>
    </w:p>
    <w:p>
      <w:pPr>
        <w:jc w:val="left"/>
      </w:pPr>
      <w:r>
        <w:t>Prozess der Erstellung DS: Kanzlei koordiniert mit Mandantin (GC Dr. Schwingenstein-Pohlmann); Mandantin liefert Informationen; Kanzlei formuliert DS rechtlich präzise.</w:t>
      </w:r>
    </w:p>
    <w:p>
      <w:pPr>
        <w:jc w:val="left"/>
      </w:pPr>
      <w:r>
        <w:t>Erstellt: DS 4.01, 4.02, 4.44, 4.47 (vollständig)</w:t>
      </w:r>
    </w:p>
    <w:p>
      <w:pPr>
        <w:jc w:val="left"/>
      </w:pPr>
      <w:r>
        <w:t>In Bearbeitung: DS 4.11, 4.12, 4.23, 4.31-4.35</w:t>
      </w:r>
    </w:p>
    <w:p>
      <w:pPr>
        <w:jc w:val="left"/>
      </w:pPr>
      <w:r>
        <w:t>Ausstehend: DS 4.22, 4.41</w:t>
      </w:r>
    </w:p>
    <w:p>
      <w:pPr>
        <w:pStyle w:val="Heading3"/>
      </w:pPr>
      <w:r>
        <w:rPr>
          <w:rFonts w:ascii="Times New Roman" w:hAnsi="Times New Roman"/>
        </w:rPr>
        <w:t>Änderungshistorie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Version DS</w:t>
            </w:r>
          </w:p>
        </w:tc>
        <w:tc>
          <w:tcPr>
            <w:tcW w:type="dxa" w:w="3024"/>
          </w:tcPr>
          <w:p>
            <w:r>
              <w:rPr>
                <w:rFonts w:ascii="Times New Roman" w:hAnsi="Times New Roman"/>
                <w:b/>
                <w:sz w:val="20"/>
              </w:rPr>
              <w:t>Datum</w:t>
            </w:r>
          </w:p>
        </w:tc>
        <w:tc>
          <w:tcPr>
            <w:tcW w:type="dxa" w:w="3024"/>
          </w:tcPr>
          <w:p>
            <w:r>
              <w:rPr>
                <w:rFonts w:ascii="Times New Roman" w:hAnsi="Times New Roman"/>
                <w:b/>
                <w:sz w:val="20"/>
              </w:rPr>
              <w:t>Wesentliche Änderungen</w:t>
            </w:r>
          </w:p>
        </w:tc>
      </w:tr>
      <w:tr>
        <w:tc>
          <w:tcPr>
            <w:tcW w:type="dxa" w:w="3024"/>
          </w:tcPr>
          <w:p>
            <w:r>
              <w:rPr>
                <w:rFonts w:ascii="Times New Roman" w:hAnsi="Times New Roman"/>
                <w:sz w:val="20"/>
              </w:rPr>
              <w:t>DS v1.0</w:t>
            </w:r>
          </w:p>
        </w:tc>
        <w:tc>
          <w:tcPr>
            <w:tcW w:type="dxa" w:w="3024"/>
          </w:tcPr>
          <w:p>
            <w:r>
              <w:rPr>
                <w:rFonts w:ascii="Times New Roman" w:hAnsi="Times New Roman"/>
                <w:sz w:val="20"/>
              </w:rPr>
              <w:t>01.07.2026</w:t>
            </w:r>
          </w:p>
        </w:tc>
        <w:tc>
          <w:tcPr>
            <w:tcW w:type="dxa" w:w="3024"/>
          </w:tcPr>
          <w:p>
            <w:r>
              <w:rPr>
                <w:rFonts w:ascii="Times New Roman" w:hAnsi="Times New Roman"/>
                <w:sz w:val="20"/>
              </w:rPr>
              <w:t>Initiale Erstellung basierend auf DD</w:t>
            </w:r>
          </w:p>
        </w:tc>
      </w:tr>
      <w:tr>
        <w:tc>
          <w:tcPr>
            <w:tcW w:type="dxa" w:w="3024"/>
          </w:tcPr>
          <w:p>
            <w:r>
              <w:rPr>
                <w:rFonts w:ascii="Times New Roman" w:hAnsi="Times New Roman"/>
                <w:sz w:val="20"/>
              </w:rPr>
              <w:t>DS v1.1</w:t>
            </w:r>
          </w:p>
        </w:tc>
        <w:tc>
          <w:tcPr>
            <w:tcW w:type="dxa" w:w="3024"/>
          </w:tcPr>
          <w:p>
            <w:r>
              <w:rPr>
                <w:rFonts w:ascii="Times New Roman" w:hAnsi="Times New Roman"/>
                <w:sz w:val="20"/>
              </w:rPr>
              <w:t>15.08.2026</w:t>
            </w:r>
          </w:p>
        </w:tc>
        <w:tc>
          <w:tcPr>
            <w:tcW w:type="dxa" w:w="3024"/>
          </w:tcPr>
          <w:p>
            <w:r>
              <w:rPr>
                <w:rFonts w:ascii="Times New Roman" w:hAnsi="Times New Roman"/>
                <w:sz w:val="20"/>
              </w:rPr>
              <w:t>Ergänzung DS 4.23 (Nachgenehmigung)</w:t>
            </w:r>
          </w:p>
        </w:tc>
      </w:tr>
      <w:tr>
        <w:tc>
          <w:tcPr>
            <w:tcW w:type="dxa" w:w="3024"/>
          </w:tcPr>
          <w:p>
            <w:r>
              <w:rPr>
                <w:rFonts w:ascii="Times New Roman" w:hAnsi="Times New Roman"/>
                <w:sz w:val="20"/>
              </w:rPr>
              <w:t>DS v2.0</w:t>
            </w:r>
          </w:p>
        </w:tc>
        <w:tc>
          <w:tcPr>
            <w:tcW w:type="dxa" w:w="3024"/>
          </w:tcPr>
          <w:p>
            <w:r>
              <w:rPr>
                <w:rFonts w:ascii="Times New Roman" w:hAnsi="Times New Roman"/>
                <w:sz w:val="20"/>
              </w:rPr>
              <w:t>30.09.2026</w:t>
            </w:r>
          </w:p>
        </w:tc>
        <w:tc>
          <w:tcPr>
            <w:tcW w:type="dxa" w:w="3024"/>
          </w:tcPr>
          <w:p>
            <w:r>
              <w:rPr>
                <w:rFonts w:ascii="Times New Roman" w:hAnsi="Times New Roman"/>
                <w:sz w:val="20"/>
              </w:rPr>
              <w:t>Umfassende Überarbeitung nach Finalisierung Warranties-Katalog</w:t>
            </w:r>
          </w:p>
        </w:tc>
      </w:tr>
    </w:tbl>
    <w:p/>
    <w:p>
      <w:pPr>
        <w:pStyle w:val="Heading2"/>
      </w:pPr>
      <w:r>
        <w:rPr>
          <w:rFonts w:ascii="Times New Roman" w:hAnsi="Times New Roman"/>
        </w:rPr>
        <w:t>Haftungsrisiken unvollständiger Disclosure</w:t>
      </w:r>
    </w:p>
    <w:p>
      <w:pPr>
        <w:jc w:val="left"/>
      </w:pPr>
      <w:r>
        <w:t>Verkäufer, der wesentliche Sachverhalte nicht in DS aufnimmt (obwohl bekannt — Seller's Knowledge), haftet aus verletzter Warranty unabhangig vom Disclosed Matter-Prinzip. Zudem drohen Ansprüche aus vorvertraglicher Haftung (§ 311 Abs. 2 BGB) bei arglistigem Verschweigen wesentlicher Umstände.</w:t>
      </w:r>
    </w:p>
    <w:p>
      <w:pPr>
        <w:jc w:val="left"/>
      </w:pPr>
      <w:r>
        <w:rPr>
          <w:b/>
        </w:rPr>
        <w:t>Empfehlung:</w:t>
      </w:r>
      <w:r>
        <w:t xml:space="preserve"> Im Zweifel: immer offenlegen. Zu viel Disclosure schadet in der Regel nicht; zu wenig kann Haftung begründen.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