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18 — Closing Checklist: Conditions Precedent, Notartermin, Registrierung</w:t>
      </w:r>
    </w:p>
    <w:p>
      <w:pPr>
        <w:jc w:val="left"/>
      </w:pPr>
      <w:r>
        <w:rPr>
          <w:b/>
        </w:rPr>
        <w:t>AZ:</w:t>
      </w:r>
      <w:r>
        <w:t xml:space="preserve"> MR-2026-DR-0717</w:t>
      </w:r>
    </w:p>
    <w:p>
      <w:pPr>
        <w:jc w:val="left"/>
      </w:pPr>
      <w:r>
        <w:rPr>
          <w:b/>
        </w:rPr>
        <w:t>Datum:</w:t>
      </w:r>
      <w:r>
        <w:t xml:space="preserve"> 30. September 2026</w:t>
      </w:r>
    </w:p>
    <w:p>
      <w:pPr>
        <w:jc w:val="left"/>
      </w:pPr>
      <w:r>
        <w:rPr>
          <w:b/>
        </w:rPr>
        <w:t>Bearbeiter:</w:t>
      </w:r>
      <w:r>
        <w:t xml:space="preserve"> Senior Associate Dr. (iur.) Mira Pohlmann</w:t>
      </w:r>
    </w:p>
    <w:p>
      <w:pPr>
        <w:jc w:val="left"/>
      </w:pPr>
      <w:r>
        <w:rPr>
          <w:b/>
        </w:rPr>
        <w:t>Status:</w:t>
      </w:r>
      <w:r>
        <w:t xml:space="preserve"> Vorabversion; finale Version nach Signing</w:t>
      </w:r>
    </w:p>
    <w:p/>
    <w:p>
      <w:pPr>
        <w:pStyle w:val="Heading2"/>
      </w:pPr>
      <w:r>
        <w:rPr>
          <w:rFonts w:ascii="Times New Roman" w:hAnsi="Times New Roman"/>
        </w:rPr>
        <w:t>Closing Conditions (Art. 3 SPA)</w:t>
      </w:r>
    </w:p>
    <w:p>
      <w:pPr>
        <w:jc w:val="left"/>
      </w:pPr>
      <w:r>
        <w:t>Das Closing ist von den nachfolgend aufgeführten Bedingungen abhängig. Alle Conditions müssen vor oder am Closing Date erfüllt oder wechselseitig waived sein.</w:t>
      </w:r>
    </w:p>
    <w:p>
      <w:pPr>
        <w:pStyle w:val="Heading3"/>
      </w:pPr>
      <w:r>
        <w:rPr>
          <w:rFonts w:ascii="Times New Roman" w:hAnsi="Times New Roman"/>
        </w:rPr>
        <w:t>Conditions Precedent (Bedingungen)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Closing Condition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Erfüllt / Waived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Zust.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CP-1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BKartA-Freigabe (oder Fristablauf ohne Untersagung, GWB § 40)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Beides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CP-2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Kein Material Adverse Change eingetreten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Zu bestätigen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Verkäufer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Closing Date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CP-3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Warranties Verkäufer weiterhin richtig und vollständig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Zu bestätigen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Verkäufer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Closing Date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CP-4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EIB-Zustimmung zum Change-of-Control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Käufer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CP-5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Keine einstweilige Verfügung oder behördliche Untersagung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Zu bestätigen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Beides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Closing Date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CP-6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Gesellschafterbeschluss Volkenrath Energie SE (Freigabe Verkauf SPV)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Erledigt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Verkäufer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01.10.2026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CP-7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Disclosure Schedules finalisiert und akzeptiert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In Bearbeitung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Beides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Closing Actions (Handlungen am Closing Date)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Handlung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Partei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Anmerkung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CA-1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Notarielle Beurkundung Anteilsabtretungsvertrag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Beide / Notar Dr. Birkenhainer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UR-Nr. 188/26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CA-2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Zahlung Kaufpreis (Wire Transfer EUR [●] auf Treuhandkonto Notar)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Käufer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 minus 1 Tag; Bankbestätigung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CA-3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Gesellschafterliste aktualisiert (§ 40 GmbHG)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Notar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Einreichung HR Berlin-Charlottenburg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CA-4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Übergabe Closing-Dokumente (Garantiebescheinigungen, Zertifikate)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Verkäufer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Closing Memorandum Anlage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CA-5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Eigentuemerwechsel EIB-Darlehen notifiziert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Käufer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Schreiben an EIB 24h nach Closing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CA-6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BKartA-Vollzugsanzeige (§ 41 Abs. 2 GWB)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Beide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Pflicht nach Vollzug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CA-7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Earn-Out Protection Covenant aktiviert (Protokoll Käufer-SPV)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Käufer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Internes Memo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Notartermin Dr. Birkenhainer (Vorbereitung)</w:t>
      </w:r>
    </w:p>
    <w:p>
      <w:pPr>
        <w:jc w:val="left"/>
      </w:pPr>
      <w:r>
        <w:t xml:space="preserve">Vorgemerkter Termin: </w:t>
      </w:r>
      <w:r>
        <w:rPr>
          <w:b/>
        </w:rPr>
        <w:t>16. Dezember 2026, 10:00 Uhr</w:t>
      </w:r>
    </w:p>
    <w:p>
      <w:pPr>
        <w:jc w:val="left"/>
      </w:pPr>
      <w:r>
        <w:t>Notariat: Dr. Konrad Birkenhainer, Unter den Linden 42, 10117 Berlin</w:t>
      </w:r>
    </w:p>
    <w:p>
      <w:pPr>
        <w:jc w:val="left"/>
      </w:pPr>
      <w:r>
        <w:t>UR-Nr.: 188/26</w:t>
      </w:r>
    </w:p>
    <w:p>
      <w:pPr>
        <w:pStyle w:val="Heading3"/>
      </w:pPr>
      <w:r>
        <w:rPr>
          <w:rFonts w:ascii="Times New Roman" w:hAnsi="Times New Roman"/>
        </w:rPr>
        <w:t>Erforderliche Personen beim Notartermin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Person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Funktion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Vollmacht nötig?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Dr. Claudia Volkenrath-Eichmueller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CEO Volkenrath Energie SE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Nein (gesetzliche Vertretung)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Dr. Franziska Schwingenstein-Pohlmann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GC Volkenrath Energie SE (Zeugin)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Notarielle Vollmacht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Dr. Lars Lattermann-Tannenmoor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Geschäftsführender Gesellschafter Steinheim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Nein (gesetzliche Vertretung)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Dr. Henrik Roosendaal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RA Verkäufer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Keine Parteifunktion; Beratung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Dr. (iur.) Mira Pohlmann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SA Verkäufer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Keine Parteifunktion; Protokoll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Vorab an Notar zu senden (bis 09.12.2026)</w:t>
      </w:r>
    </w:p>
    <w:p>
      <w:pPr>
        <w:pStyle w:val="ListBullet"/>
      </w:pPr>
      <w:r>
        <w:t>[ ] Reinschrift SPA (Track Changes entfernt, Metadaten bereinigt)</w:t>
      </w:r>
    </w:p>
    <w:p>
      <w:pPr>
        <w:pStyle w:val="ListBullet"/>
      </w:pPr>
      <w:r>
        <w:t>[ ] Alle Anlagen SPA (Anlage 1 bis 9)</w:t>
      </w:r>
    </w:p>
    <w:p>
      <w:pPr>
        <w:pStyle w:val="ListBullet"/>
      </w:pPr>
      <w:r>
        <w:t>[ ] Disclosure Schedules (vollständig)</w:t>
      </w:r>
    </w:p>
    <w:p>
      <w:pPr>
        <w:pStyle w:val="ListBullet"/>
      </w:pPr>
      <w:r>
        <w:t>[ ] Aktuelle Gesellschafterliste SPV</w:t>
      </w:r>
    </w:p>
    <w:p>
      <w:pPr>
        <w:pStyle w:val="ListBullet"/>
      </w:pPr>
      <w:r>
        <w:t>[ ] Handelsregisterauszuge beider Parteien (aktuell, nicht älter als 4 Wochen)</w:t>
      </w:r>
    </w:p>
    <w:p>
      <w:pPr>
        <w:pStyle w:val="ListBullet"/>
      </w:pPr>
      <w:r>
        <w:t>[ ] Vollmachten (sofern Vertreter handeln)</w:t>
      </w:r>
    </w:p>
    <w:p>
      <w:pPr>
        <w:pStyle w:val="ListBullet"/>
      </w:pPr>
      <w:r>
        <w:t>[ ] GwG-Angaben (§ 10 GwG) für alle Beteiligten</w:t>
      </w:r>
    </w:p>
    <w:p/>
    <w:p>
      <w:pPr>
        <w:pStyle w:val="Heading2"/>
      </w:pPr>
      <w:r>
        <w:rPr>
          <w:rFonts w:ascii="Times New Roman" w:hAnsi="Times New Roman"/>
        </w:rPr>
        <w:t>Registrierung nach Closing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Schritt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Zuständig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Neue Gesellschafterliste einreichen (§ 40 GmbHG)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Sofort nach Notar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Notar Dr. Birkenhainer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Handelsregister-Update GmbH (neuer Gesellschafter)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Ca. 2-4 Wochen (Amtsgericht)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Notar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BKartA-Vollzugsanzeige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Unverzüglich nach Vollzug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Roosendaal Birkenhainer (i.A. Verkäufer)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GrESt-Anzeige FA Berlin-Mitte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 Wochen nach Beurkundung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Notar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EIB-Benachrichtigung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24 h nach Closing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Käufer (Steinheim)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