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Notartermin-Vorbereitung: Beurkundungsablauf und Vollmachtskette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05. Oktober 2026</w:t>
      </w:r>
    </w:p>
    <w:p>
      <w:pPr>
        <w:jc w:val="left"/>
      </w:pPr>
      <w:r>
        <w:rPr>
          <w:b/>
        </w:rPr>
        <w:t>Notar:</w:t>
      </w:r>
      <w:r>
        <w:t xml:space="preserve"> Dr. Konrad Birkenhainer, Berlin</w:t>
      </w:r>
    </w:p>
    <w:p>
      <w:pPr>
        <w:jc w:val="left"/>
      </w:pPr>
      <w:r>
        <w:rPr>
          <w:b/>
        </w:rPr>
        <w:t>UR-Nr.:</w:t>
      </w:r>
      <w:r>
        <w:t xml:space="preserve"> 188/26</w:t>
      </w:r>
    </w:p>
    <w:p>
      <w:pPr>
        <w:jc w:val="left"/>
      </w:pPr>
      <w:r>
        <w:rPr>
          <w:b/>
        </w:rPr>
        <w:t>Termin:</w:t>
      </w:r>
      <w:r>
        <w:t xml:space="preserve"> 16. Dezember 2026, 10:00 Uhr</w:t>
      </w:r>
    </w:p>
    <w:p>
      <w:pPr>
        <w:jc w:val="left"/>
      </w:pPr>
      <w:r>
        <w:rPr>
          <w:b/>
        </w:rPr>
        <w:t>Bearbeiter:</w:t>
      </w:r>
      <w:r>
        <w:t xml:space="preserve"> Dr. (iur.) Mira Pohlmann</w:t>
      </w:r>
    </w:p>
    <w:p/>
    <w:p>
      <w:pPr>
        <w:pStyle w:val="Heading2"/>
      </w:pPr>
      <w:r>
        <w:rPr>
          <w:rFonts w:ascii="Times New Roman" w:hAnsi="Times New Roman"/>
        </w:rPr>
        <w:t>Rechtlicher Hintergrund: Beurkundungspflicht</w:t>
      </w:r>
    </w:p>
    <w:p>
      <w:pPr>
        <w:jc w:val="left"/>
      </w:pPr>
      <w:r>
        <w:t>Die Abtretung von Geschäftsanteilen einer GmbH bedarf der notariellen Beurkundung gemäß § 15 Abs. 3 GmbHG. Ohne Beurkundung ist die Abtretung nichtig (§ 125 BGB). Die Beurkundung des Share Purchase Agreement in seiner Gesamtheit empfiehlt sich, um Formwirksamkeit des gesamten Vertragswerks sicherzustellen.</w:t>
      </w:r>
    </w:p>
    <w:p/>
    <w:p>
      <w:pPr>
        <w:pStyle w:val="Heading2"/>
      </w:pPr>
      <w:r>
        <w:rPr>
          <w:rFonts w:ascii="Times New Roman" w:hAnsi="Times New Roman"/>
        </w:rPr>
        <w:t>Ablauf des Beurkundungstermins</w:t>
      </w:r>
    </w:p>
    <w:p>
      <w:pPr>
        <w:pStyle w:val="Heading3"/>
      </w:pPr>
      <w:r>
        <w:rPr>
          <w:rFonts w:ascii="Times New Roman" w:hAnsi="Times New Roman"/>
        </w:rPr>
        <w:t>Phase 1 — Eroffnung (ca. 30 Minuten)</w:t>
      </w:r>
    </w:p>
    <w:p>
      <w:pPr>
        <w:pStyle w:val="ListNumber"/>
      </w:pPr>
      <w:r>
        <w:t>Begruessung durch Notar; Identitätsfeststellung aller Beteiligten (Personalausweis / Pass)</w:t>
      </w:r>
    </w:p>
    <w:p>
      <w:pPr>
        <w:pStyle w:val="ListNumber"/>
      </w:pPr>
      <w:r>
        <w:t>Feststellung der Vollmachten (sofern Vertreter auftreten)</w:t>
      </w:r>
    </w:p>
    <w:p>
      <w:pPr>
        <w:pStyle w:val="ListNumber"/>
      </w:pPr>
      <w:r>
        <w:t>Notar prüft GwG-Angaben (wirtschaftlich Berechtigte)</w:t>
      </w:r>
    </w:p>
    <w:p>
      <w:pPr>
        <w:pStyle w:val="ListNumber"/>
      </w:pPr>
      <w:r>
        <w:t>Belehrung der Beteiligten über Bedeutung der Beurkundung (§ 17 BeurkG)</w:t>
      </w:r>
    </w:p>
    <w:p>
      <w:pPr>
        <w:pStyle w:val="Heading3"/>
      </w:pPr>
      <w:r>
        <w:rPr>
          <w:rFonts w:ascii="Times New Roman" w:hAnsi="Times New Roman"/>
        </w:rPr>
        <w:t>Phase 2 — Verlesen (ca. 90-120 Minuten)</w:t>
      </w:r>
    </w:p>
    <w:p>
      <w:pPr>
        <w:pStyle w:val="ListNumber"/>
      </w:pPr>
      <w:r>
        <w:t>Notar verliest den gesamten Urkundstext (SPA inkl. Anteilsabtretungsvertrag) laut vor</w:t>
      </w:r>
    </w:p>
    <w:p>
      <w:pPr>
        <w:pStyle w:val="ListNumber"/>
      </w:pPr>
      <w:r>
        <w:t>Beteiligten haben Recht auf Änderungen während des Vorlesens (ggf. Korrekturen)</w:t>
      </w:r>
    </w:p>
    <w:p>
      <w:pPr>
        <w:pStyle w:val="ListNumber"/>
      </w:pPr>
      <w:r>
        <w:t>Anlagen werden in der Urkunde in Bezug genommen und als Teil der Urkunde erklart</w:t>
      </w:r>
    </w:p>
    <w:p>
      <w:pPr>
        <w:jc w:val="left"/>
      </w:pPr>
      <w:r>
        <w:rPr>
          <w:b/>
        </w:rPr>
        <w:t>Hinweis:</w:t>
      </w:r>
      <w:r>
        <w:t xml:space="preserve"> Kanzlei empfiehlt Abstimmung mit Notar vorab, ob Anlagen vollständig vorgelesen oder nur in Bezug genommen werden. Bei umfangreichen Disclosure Schedules (ca. 180 Seiten) üblicherweise Bezugnahme ausreichend (§ 9 Abs. 1 Satz 2 BeurkG — Vorlesung verzichtbar, wenn Parteien zustimmen und Anlagen beigefügt).</w:t>
      </w:r>
    </w:p>
    <w:p>
      <w:pPr>
        <w:pStyle w:val="Heading3"/>
      </w:pPr>
      <w:r>
        <w:rPr>
          <w:rFonts w:ascii="Times New Roman" w:hAnsi="Times New Roman"/>
        </w:rPr>
        <w:t>Phase 3 — Genehmigung und Unterschriften (ca. 20 Minuten)</w:t>
      </w:r>
    </w:p>
    <w:p>
      <w:pPr>
        <w:pStyle w:val="ListNumber"/>
      </w:pPr>
      <w:r>
        <w:t>Beteiligten erklären mündlich die Genehmigung des verlesenen Textes</w:t>
      </w:r>
    </w:p>
    <w:p>
      <w:pPr>
        <w:pStyle w:val="ListNumber"/>
      </w:pPr>
      <w:r>
        <w:t>Unterschriften der Beteiligten (alle, die Parteifunktion haben)</w:t>
      </w:r>
    </w:p>
    <w:p>
      <w:pPr>
        <w:pStyle w:val="ListNumber"/>
      </w:pPr>
      <w:r>
        <w:t>Unterschrift und Siegel des Notars</w:t>
      </w:r>
    </w:p>
    <w:p>
      <w:pPr>
        <w:pStyle w:val="ListNumber"/>
      </w:pPr>
      <w:r>
        <w:t>Notar nummeriert Urkunde (UR-Nr. 188/26)</w:t>
      </w:r>
    </w:p>
    <w:p>
      <w:pPr>
        <w:pStyle w:val="Heading3"/>
      </w:pPr>
      <w:r>
        <w:rPr>
          <w:rFonts w:ascii="Times New Roman" w:hAnsi="Times New Roman"/>
        </w:rPr>
        <w:t>Phase 4 — Vollzug nach Beurkundung</w:t>
      </w:r>
    </w:p>
    <w:p>
      <w:pPr>
        <w:pStyle w:val="ListNumber"/>
      </w:pPr>
      <w:r>
        <w:t>Notar erstellt beglaubigte Abschriften für jede Partei</w:t>
      </w:r>
    </w:p>
    <w:p>
      <w:pPr>
        <w:pStyle w:val="ListNumber"/>
      </w:pPr>
      <w:r>
        <w:t>Notar stellt neue Gesellschafterliste auf (§ 40 GmbHG) und reicht beim Handelsregister ein</w:t>
      </w:r>
    </w:p>
    <w:p>
      <w:pPr>
        <w:pStyle w:val="ListNumber"/>
      </w:pPr>
      <w:r>
        <w:t>GrESt-Anzeige durch Notar an Finanzamt (§ 18 GrEStG)</w:t>
      </w:r>
    </w:p>
    <w:p/>
    <w:p>
      <w:pPr>
        <w:pStyle w:val="Heading2"/>
      </w:pPr>
      <w:r>
        <w:rPr>
          <w:rFonts w:ascii="Times New Roman" w:hAnsi="Times New Roman"/>
        </w:rPr>
        <w:t>Vollmachtskette</w:t>
      </w:r>
    </w:p>
    <w:p>
      <w:pPr>
        <w:pStyle w:val="Heading3"/>
      </w:pPr>
      <w:r>
        <w:rPr>
          <w:rFonts w:ascii="Times New Roman" w:hAnsi="Times New Roman"/>
        </w:rPr>
        <w:t>Szenario: CEO persönlich anwesend (Standard)</w:t>
      </w:r>
    </w:p>
    <w:p>
      <w:pPr>
        <w:jc w:val="left"/>
      </w:pPr>
      <w:r>
        <w:t>CEO Dr. Claudia Volkenrath-Eichmueller ist allein vertretungsberechtigt gemäß Handelsregistereintragung. Keine Vollmacht erforderlich; Personalausweis genügt.</w:t>
      </w:r>
    </w:p>
    <w:p>
      <w:pPr>
        <w:pStyle w:val="Heading3"/>
      </w:pPr>
      <w:r>
        <w:rPr>
          <w:rFonts w:ascii="Times New Roman" w:hAnsi="Times New Roman"/>
        </w:rPr>
        <w:t>Szenario: Vertretung durch GC (Eventualfall)</w:t>
      </w:r>
    </w:p>
    <w:p>
      <w:pPr>
        <w:jc w:val="left"/>
      </w:pPr>
      <w:r>
        <w:t>Falls CEO verhindert: GC Dr. Franziska Schwingenstein-Pohlmann vertritt auf Basis notariell beglaubigter Vollmacht. Vollmacht muss enthalten:</w:t>
      </w:r>
    </w:p>
    <w:p>
      <w:pPr>
        <w:pStyle w:val="ListBullet"/>
      </w:pPr>
      <w:r>
        <w:t>Ausdrueliche Berechtigung zur Abtretung von Gesellschaftsanteilen (§ 15 Abs. 3 GmbHG)</w:t>
      </w:r>
    </w:p>
    <w:p>
      <w:pPr>
        <w:pStyle w:val="ListBullet"/>
      </w:pPr>
      <w:r>
        <w:t>Beglaubigung beim Notar (§ 129 BGB i.V.m. § 128 BGB)</w:t>
      </w:r>
    </w:p>
    <w:p>
      <w:pPr>
        <w:pStyle w:val="ListBullet"/>
      </w:pPr>
      <w:r>
        <w:t>Ausgestellt vor dem Notartermin (mindestens 5 Werktage Vorlaufzeit)</w:t>
      </w:r>
    </w:p>
    <w:p>
      <w:pPr>
        <w:jc w:val="left"/>
      </w:pPr>
      <w:r>
        <w:rPr>
          <w:b/>
        </w:rPr>
        <w:t>Wichtig:</w:t>
      </w:r>
      <w:r>
        <w:t xml:space="preserve"> Notarielle Beglaubigung der Vollmacht, nicht nur notarielle Beurkundung. Für Anteilsabtretung ausreichend ist nach h.M. eine notariell beglaubigte Vollmacht (Unterschriftsbeglaubigung); keine vollständige Beurkundung der Vollmacht selbst nötig.</w:t>
      </w:r>
    </w:p>
    <w:p/>
    <w:p>
      <w:pPr>
        <w:pStyle w:val="Heading2"/>
      </w:pPr>
      <w:r>
        <w:rPr>
          <w:rFonts w:ascii="Times New Roman" w:hAnsi="Times New Roman"/>
        </w:rPr>
        <w:t>Checkliste Notartermin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Reinschrift SPA an Notar senden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09.12.2026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Vollmacht GC beglaubigen (Eventualfall)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Schwingenstein-Pohlmann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10.12.2026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Handelsregisterauszuge besorgen (aktuell)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12.12.2026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GwG-Blätter ausfüllen und unterzeichnen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Beteiligten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14.12.2026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Reiseplanung / Anreise-Bestätigung Parteien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Sekretariat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10.12.2026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Notarhonorar-Vorabinformation einholen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01.12.2026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Closing-Memorandum-Entwurf vorbereiten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14.12.2026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Notarhonorar-Schätzung</w:t>
      </w:r>
    </w:p>
    <w:p>
      <w:pPr>
        <w:jc w:val="left"/>
      </w:pPr>
      <w:r>
        <w:t>Beurkundungsgebuehr nach GNotKG richtet sich nach dem Gegenstandswert (= Kaufpreis EUR 38 Mio.):</w:t>
      </w:r>
    </w:p>
    <w:p>
      <w:pPr>
        <w:pStyle w:val="ListBullet"/>
      </w:pPr>
      <w:r>
        <w:t>Beurkundungsgebuehr (2,0-fach): ca. EUR 58.800 netto</w:t>
      </w:r>
    </w:p>
    <w:p>
      <w:pPr>
        <w:pStyle w:val="ListBullet"/>
      </w:pPr>
      <w:r>
        <w:t>Zzgl. MwSt., Auslagen (Abschriften, Einreichungsgebuehren): ca. EUR 70.000-75.000 gesamt</w:t>
      </w:r>
    </w:p>
    <w:p>
      <w:pPr>
        <w:pStyle w:val="ListBullet"/>
      </w:pPr>
      <w:r>
        <w:t>Träger: gemäß SPA-Regelung (i.d.R. Käufer oder 50/50)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