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Finale Revision vor Signing: Last-Minute-Check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14. Oktober 2026 (aktualisiert: 10. Dezember 2026)</w:t>
      </w:r>
    </w:p>
    <w:p>
      <w:pPr>
        <w:jc w:val="left"/>
      </w:pPr>
      <w:r>
        <w:rPr>
          <w:b/>
        </w:rPr>
        <w:t>Bearbeiter:</w:t>
      </w:r>
      <w:r>
        <w:t xml:space="preserve"> RA Dr. Henrik Roosendaal und Dr. (iur.) Mira Pohlmann</w:t>
      </w:r>
    </w:p>
    <w:p>
      <w:pPr>
        <w:jc w:val="left"/>
      </w:pPr>
      <w:r>
        <w:rPr>
          <w:b/>
        </w:rPr>
        <w:t>Status:</w:t>
      </w:r>
      <w:r>
        <w:t xml:space="preserve"> Letzte Revision vor Beurkundung 16.12.2026</w:t>
      </w:r>
    </w:p>
    <w:p/>
    <w:p>
      <w:pPr>
        <w:pStyle w:val="Heading2"/>
      </w:pPr>
      <w:r>
        <w:rPr>
          <w:rFonts w:ascii="Times New Roman" w:hAnsi="Times New Roman"/>
        </w:rPr>
        <w:t>Zweck</w:t>
      </w:r>
    </w:p>
    <w:p>
      <w:pPr>
        <w:jc w:val="left"/>
      </w:pPr>
      <w:r>
        <w:t>Die finale Revision dient dazu, in den letzten 48-72 Stunden vor Signing sicherzustellen, dass das SPA in Reinschrift vollständig, konsistent und fehlerfrei ist. Diese Checkliste ergänzt die allgemeine Word-Finish-Checkliste (Aktenstück 12) um inhaltliche Prüfpunkte.</w:t>
      </w:r>
    </w:p>
    <w:p/>
    <w:p>
      <w:pPr>
        <w:pStyle w:val="Heading2"/>
      </w:pPr>
      <w:r>
        <w:rPr>
          <w:rFonts w:ascii="Times New Roman" w:hAnsi="Times New Roman"/>
        </w:rPr>
        <w:t>A — Defined Terms Final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Defined Terms in Art. 1 alphabetisch geordnet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Jeder Defined Term nur einmal im Vertrag definiert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Defined Terms im Vertragstext mit Grossschreibung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"Seller's Knowledge" Personenkreis finale Namensliste korrekt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"Earn-Out EBITDA" Definition letzte verabschiedete 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"Closing Date" und "Signing Date" korrekt unterschieden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 — Zahlen und Beträge Final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 (EUR 38.000.000 / achtunddreissig Millionen Euro) in allen Klauseln konsistent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Earn-Out-Maximum (EUR 3.500.000) in Art. 8 konsistent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EBITDA-Schwellen (EUR 3.600.000 und EUR 4.200.000) korrekt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General Cap (EUR 6.500.000) und Tax Cap (EUR 10.000.000) korrekt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 minimis EUR 60.000 und Basket EUR 400.000 korrekt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Locked-Box-Referenzdatum (31.12.2025) konsistent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Locked-Box-Zinssatz (EUR 5.200/Tag) korrekt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 — Anlagen und Schedules Final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9 Anlagen vorhanden und nummeriert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Schedules 4.01-4.47 vollständig und gezeichnet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Schedule 8-A (Agreed Extraordinary Items für Earn-Out) beigehaeftet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Notarielle Vollmacht GC (Eventualfall) gezeichnet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Sekretariat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 Gesellschafterliste SPV als 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Handelsregisterauszüge beider Parteien beigefügt (max. 4 Wochen 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Sekretariat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 — Verbleibende Offene Punkte (Stand 10.12.2026)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BKartA-Freigabe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ERHALTEN 18.11.2026</w:t>
            </w:r>
            <w:r>
              <w:rPr>
                <w:rFonts w:ascii="Times New Roman" w:hAnsi="Times New Roman"/>
                <w:sz w:val="20"/>
              </w:rPr>
              <w:t xml:space="preserve"> (Phase I, keine Auflagen)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EIB-Zustimmung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ERHALTEN 02.12.2026</w:t>
            </w:r>
            <w:r>
              <w:rPr>
                <w:rFonts w:ascii="Times New Roman" w:hAnsi="Times New Roman"/>
                <w:sz w:val="20"/>
              </w:rPr>
              <w:t xml:space="preserve"> (Change-of-Control zugestimmt)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Verbindliche Auskunft FA Berlin-Mitte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ERHALTEN 28.11.2026</w:t>
            </w:r>
            <w:r>
              <w:rPr>
                <w:rFonts w:ascii="Times New Roman" w:hAnsi="Times New Roman"/>
                <w:sz w:val="20"/>
              </w:rPr>
              <w:t xml:space="preserve"> — GrESt bejaht EUR 288.000; Anpassung Kaufpreis vereinbart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Kaufpreisadjustierung GrESt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287.850 vom Kaufpreis abgesetzt; neuer Kaufpreis: EUR 37.712.150; Berechnung beigefügt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Schedules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 akzeptiert 05.12.2026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 Reinschrift an 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erledigen bis 09.12.2026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 — Kommunikation Gegenseite (letzte 48 Stunden)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Telefonkonferenz Roosendaal / Schoeneberg-Kraft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14.12.2026, 15:00 Uhr — letzte Abstimmung vor Signing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Bestätigungsmail Schäfer Schoeneberg Stoll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Bestätigung SPA-Reinschrift als bindend und vollständig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Reisebestätigung Dr. Lattermann-Tannenmoor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Anreise Berlin 15.12.2026 (Vorabend); Hotel: Adlon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 — Signing-Day Ablaufplan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Arrive Notariat, letztes Briefing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Birkenhainer, Unter den Linden 42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Beurkundungsbeginn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12:00 Uhr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Beurkundungsende und Unterzeichnung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12:30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Kaufpreistransfer-Freigabe Treuhandkonto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Telefonisch mit Bank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Signing-Dinner (optional)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Restaurant Lorenz Adlon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