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Post-Signing Housekeeping: Closing-Memo und Folgefristen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 Signing:</w:t>
      </w:r>
      <w:r>
        <w:t xml:space="preserve"> 16. Dezember 2026</w:t>
      </w:r>
    </w:p>
    <w:p>
      <w:pPr>
        <w:jc w:val="left"/>
      </w:pPr>
      <w:r>
        <w:rPr>
          <w:b/>
        </w:rPr>
        <w:t>Datum dieses Memos:</w:t>
      </w:r>
      <w:r>
        <w:t xml:space="preserve"> 17. Dezember 2026</w:t>
      </w:r>
    </w:p>
    <w:p>
      <w:pPr>
        <w:jc w:val="left"/>
      </w:pPr>
      <w:r>
        <w:rPr>
          <w:b/>
        </w:rPr>
        <w:t>Bearbeiter:</w:t>
      </w:r>
      <w:r>
        <w:t xml:space="preserve"> Dr. (iur.) Mira Pohlmann</w:t>
      </w:r>
    </w:p>
    <w:p/>
    <w:p>
      <w:pPr>
        <w:pStyle w:val="Heading2"/>
      </w:pPr>
      <w:r>
        <w:rPr>
          <w:rFonts w:ascii="Times New Roman" w:hAnsi="Times New Roman"/>
        </w:rPr>
        <w:t>Zusammenfassung Signing und Closing</w:t>
      </w:r>
    </w:p>
    <w:p>
      <w:pPr>
        <w:jc w:val="left"/>
      </w:pPr>
      <w:r>
        <w:t>Am 16. Dezember 2026 wurden das Share Purchase Agreement und der Anteilsabtretungsvertrag vor Notar Dr. Konrad Birkenhainer in Berlin beurkundet (UR-Nr. 188/26). Signing und Closing erfolgten am selben Tag (Simultaneous Signing and Closing). Kaufpreis EUR 37.712.150 wurde am 16.12.2026 auf das Notar-Treuhandkonto eingezahlt und nach Beurkundungsbestaetigung an Mandantin weitergeleitet.</w:t>
      </w:r>
    </w:p>
    <w:p>
      <w:pPr>
        <w:jc w:val="left"/>
      </w:pPr>
      <w:r>
        <w:rPr>
          <w:b/>
        </w:rPr>
        <w:t>Transaktionsergebnis:</w:t>
      </w:r>
      <w:r>
        <w:t xml:space="preserve"> Vollzug erfolgreich. Volkenrath Energie SE hat 100% der Anteile an Volkenrath Solar Eppendorf GmbH auf Steinheim Capital Partners GmbH &amp; Co. KG übertragen.</w:t>
      </w:r>
    </w:p>
    <w:p/>
    <w:p>
      <w:pPr>
        <w:pStyle w:val="Heading2"/>
      </w:pPr>
      <w:r>
        <w:rPr>
          <w:rFonts w:ascii="Times New Roman" w:hAnsi="Times New Roman"/>
        </w:rPr>
        <w:t>Unmittelbare Pflichten nach Signing (0-5 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BKartA-Vollzugsanzeige (§ 41 Abs. 2 GWB)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GrESt-Anzeige FA Berlin-Mitte (§ 18 GrEStG)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Wochen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 Birkenhainer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EIB-Benachrichtigung Change-of-Control vollzogen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Steinheim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 Gesellschafterliste Handelsregister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Eingereicht durch 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 Birkenhainer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Beglaubigte Abschrift SPA an 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 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 / Kanzlei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Closing-Memo an 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17.12.2026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Dieses Memo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Folgefristen und Überwachung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Handelsregister-Update (neuer Gesellschafter)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2-4 Wochen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Amtsgericht Berlin-Charlottenburg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GrESt-Bescheid FA Berlin-Mitte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4-8 Wochen nach 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 durch Steinheim (Erwerber)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Earn-Out-Messung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EBITDA GJ 2027 (Bilanz bis 30.04.2028)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Mandantin noch bis 31.03.2028 berechtigt Einblick zu verlangen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Earn-Out-Zahlung (sofern EBITDA erreicht)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31.03.2028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Zahlungsempfänger: Volkenrath Energie 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Warranty Survival Ende (General)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16.12.2029 (3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Mandate-Folder verbleibt offen bis Ablauf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Warranty Survival Ende (Tax)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16.12.2033 (7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Steuerlicher Berater informiert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Warranty Survival Ende (Fundamental)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16.12.2036 (10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Kanzlei-DMS Wiedervorlage gesetzt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Aktenarchivierung</w:t>
      </w:r>
    </w:p>
    <w:p>
      <w:pPr>
        <w:pStyle w:val="Heading3"/>
      </w:pPr>
      <w:r>
        <w:rPr>
          <w:rFonts w:ascii="Times New Roman" w:hAnsi="Times New Roman"/>
        </w:rPr>
        <w:t>Kanzlei-DMS</w:t>
      </w:r>
    </w:p>
    <w:p>
      <w:pPr>
        <w:jc w:val="left"/>
      </w:pPr>
      <w:r>
        <w:t>Alle Originaldokumente unter AZ MR-2026-DR-0717:</w:t>
      </w:r>
    </w:p>
    <w:p>
      <w:pPr>
        <w:pStyle w:val="ListBullet"/>
      </w:pPr>
      <w:r>
        <w:t>SPA Final (UR-Nr. 188/26) — beglaubigte Abschrift</w:t>
      </w:r>
    </w:p>
    <w:p>
      <w:pPr>
        <w:pStyle w:val="ListBullet"/>
      </w:pPr>
      <w:r>
        <w:t>Alle Anlagen (1-9) inkl. Disclosure Schedules</w:t>
      </w:r>
    </w:p>
    <w:p>
      <w:pPr>
        <w:pStyle w:val="ListBullet"/>
      </w:pPr>
      <w:r>
        <w:t>Alle SPA-Versionen (Draft 1 bis 4) und Redlines</w:t>
      </w:r>
    </w:p>
    <w:p>
      <w:pPr>
        <w:pStyle w:val="ListBullet"/>
      </w:pPr>
      <w:r>
        <w:t>E-Mail-Korrespondenz (chronologisch archiviert)</w:t>
      </w:r>
    </w:p>
    <w:p>
      <w:pPr>
        <w:pStyle w:val="ListBullet"/>
      </w:pPr>
      <w:r>
        <w:t>Anwaltsschreiben BKartA, FA Berlin-Mitte</w:t>
      </w:r>
    </w:p>
    <w:p>
      <w:pPr>
        <w:pStyle w:val="ListBullet"/>
      </w:pPr>
      <w:r>
        <w:t>BKartA-Freigabe-Bescheid vom 18.11.2026</w:t>
      </w:r>
    </w:p>
    <w:p>
      <w:pPr>
        <w:pStyle w:val="ListBullet"/>
      </w:pPr>
      <w:r>
        <w:t>Verbindliche Auskunft FA Berlin-Mitte vom 28.11.2026</w:t>
      </w:r>
    </w:p>
    <w:p>
      <w:pPr>
        <w:pStyle w:val="ListBullet"/>
      </w:pPr>
      <w:r>
        <w:t>EIB-Zustimmungsschreiben vom 02.12.2026</w:t>
      </w:r>
    </w:p>
    <w:p>
      <w:pPr>
        <w:pStyle w:val="ListBullet"/>
      </w:pPr>
      <w:r>
        <w:t>Notar-Beurkundungsprotokoll UR-Nr. 188/26</w:t>
      </w:r>
    </w:p>
    <w:p>
      <w:pPr>
        <w:pStyle w:val="Heading3"/>
      </w:pPr>
      <w:r>
        <w:rPr>
          <w:rFonts w:ascii="Times New Roman" w:hAnsi="Times New Roman"/>
        </w:rPr>
        <w:t>Physische Akte</w:t>
      </w:r>
    </w:p>
    <w:p>
      <w:pPr>
        <w:jc w:val="left"/>
      </w:pPr>
      <w:r>
        <w:t>Physische Akte Abteilung: Kapitalmarkttransaktionen / AZ MR-2026-DR-0717</w:t>
      </w:r>
    </w:p>
    <w:p>
      <w:pPr>
        <w:jc w:val="left"/>
      </w:pPr>
      <w:r>
        <w:t>Aufbewahrungsfrist: 10 Jahre nach Mandate-Abschluss (§ 50 BRAO, § 199 BGB)</w:t>
      </w:r>
    </w:p>
    <w:p>
      <w:pPr>
        <w:jc w:val="left"/>
      </w:pPr>
      <w:r>
        <w:t>Vernichtung fruhestens: 31.12.2036</w:t>
      </w:r>
    </w:p>
    <w:p/>
    <w:p>
      <w:pPr>
        <w:pStyle w:val="Heading2"/>
      </w:pPr>
      <w:r>
        <w:rPr>
          <w:rFonts w:ascii="Times New Roman" w:hAnsi="Times New Roman"/>
        </w:rPr>
        <w:t>Abschlussbericht an Mandantin</w:t>
      </w:r>
    </w:p>
    <w:p>
      <w:pPr>
        <w:jc w:val="left"/>
      </w:pPr>
      <w:r>
        <w:t>Kanzleirechnung und Abschlussrechnung werden bis 31.12.2026 erstellt. Gesamthonorar gemäß Mandatsvereinbarung (Stundenhonorar + Erfolgsfee-Komponente). Abrechnungsdetails werden separat übermittelt.</w:t>
      </w:r>
    </w:p>
    <w:p/>
    <w:p>
      <w:pPr>
        <w:pStyle w:val="Heading2"/>
      </w:pPr>
      <w:r>
        <w:rPr>
          <w:rFonts w:ascii="Times New Roman" w:hAnsi="Times New Roman"/>
        </w:rPr>
        <w:t>Lessons Learned (Kanzleiintern)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Erkenntnis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GrESt-Risiko früher identifizieren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Verbindliche Auskunft sollte in Phase Term Sheet beantragt werden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Track-Changes-Metadaten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Strikte Protokoll-Durchsetzung ab Draft 1 notwendig; Version-Archiv sauvegarden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EIB Change-of-Control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Frühzeitig EIB-Kommunikation starten; Genehmigung dauert länger als erwartet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AGB-Pruefung Anlagen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 der Legal-DD-Checkliste aufnehmen; nicht separat beauftragt werden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Kanzleistil-Abstimmung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Gegenseiten-Kanzlei-Stil frühzeitig analysieren; Proxy-Einigung zum Format erleichtert Verhandlung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