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Erstgesprächsprotokoll</w:t>
      </w:r>
    </w:p>
    <w:p>
      <w:pPr>
        <w:jc w:val="left"/>
      </w:pPr>
      <w:r>
        <w:rPr>
          <w:b/>
        </w:rPr>
        <w:t>Datum:</w:t>
      </w:r>
      <w:r>
        <w:t xml:space="preserve"> 02.04.2026, 14:30–17:10 Uhr</w:t>
      </w:r>
    </w:p>
    <w:p>
      <w:pPr>
        <w:jc w:val="left"/>
      </w:pPr>
      <w:r>
        <w:rPr>
          <w:b/>
        </w:rPr>
        <w:t>Ort:</w:t>
      </w:r>
      <w:r>
        <w:t xml:space="preserve"> Kanzlei Erlangen, Besprechungsraum "Frauenkirche"</w:t>
      </w:r>
    </w:p>
    <w:p>
      <w:pPr>
        <w:jc w:val="left"/>
      </w:pPr>
      <w:r>
        <w:rPr>
          <w:b/>
        </w:rPr>
        <w:t>Anwesend:</w:t>
      </w:r>
      <w:r>
        <w:t xml:space="preserve"> Dr. C. Hagenroth (Anwalt), F. Quasthoff-Prügelmann (Sozia), W. Meißnerlein-Hochkönig (GF), R. Pfistermeier (Refrendarin, Protokoll)</w:t>
      </w:r>
    </w:p>
    <w:p>
      <w:pPr>
        <w:pStyle w:val="Heading2"/>
      </w:pPr>
      <w:r>
        <w:rPr>
          <w:rFonts w:ascii="Times New Roman" w:hAnsi="Times New Roman"/>
        </w:rPr>
        <w:t>Schilderung Frau Meißnerlein</w:t>
      </w:r>
    </w:p>
    <w:p>
      <w:pPr>
        <w:ind w:left="567"/>
      </w:pPr>
      <w:r>
        <w:rPr>
          <w:i/>
        </w:rPr>
        <w:t>"Mei, des ist scho a Trauerspiel. Wir haben über zehn Jahre auf Glitzerwald aufgebaut, jeden Möbelstück mit Geschichte vorgestellt, da hängt der halbe Umsatz dran. Am Karsamstag früh um halb sechs, ich wollt' grad meinen Mann zum Bäcker schicken, da krieg ich diese E-Mail. Account weg. Einfach so. Kein Hinweis, kein gar nix vorher. Und der Kundenservice ist nicht erreichbar, da gibts nur einen Bot."</w:t>
      </w:r>
    </w:p>
    <w:p>
      <w:pPr>
        <w:jc w:val="left"/>
      </w:pPr>
      <w:r>
        <w:t>Mandantin schildert weiter, dass am gleichen Tag der Hauptkonkurrent Lindheim &amp; Söhne KG (Schwabach) eine prominente Platzierung im Glitzerwald-Marktplatz erhielt mit dem Slogan "Echtes Franken — Restauriert von Hand". Tags zuvor hatten sich Frau Meißnerlein und Herr Egmont Lindheim auf der Antikmesse Forchheim noch begegnet; das Gespräch sei "frostig" verlaufen.</w:t>
      </w:r>
    </w:p>
    <w:p>
      <w:pPr>
        <w:jc w:val="left"/>
      </w:pPr>
      <w:r>
        <w:t>Die Sperrmitteilung enthält den Vorwurf "Coordinated Inauthentic Behavior" und "Spam-like Engagement Patterns" — Anhaltspunkte nennt Glitzerwald nicht. Die Mandantin bestreitet jeglichen Bot-Einsatz. Sie betreibt den Account selbst, ihre Nichte Schwentibald Meißnerlein hilft bei Posts mit. Externe Engagement-Dienste wurden ihres Wissens nie beauftragt.</w:t>
      </w:r>
    </w:p>
    <w:p>
      <w:pPr>
        <w:pStyle w:val="Heading2"/>
      </w:pPr>
      <w:r>
        <w:rPr>
          <w:rFonts w:ascii="Times New Roman" w:hAnsi="Times New Roman"/>
        </w:rPr>
        <w:t>Schilderung Wirtschaftlicher Schaden</w:t>
      </w:r>
    </w:p>
    <w:p>
      <w:pPr>
        <w:pStyle w:val="ListBullet"/>
      </w:pPr>
      <w:r>
        <w:t>Direktverkäufe über Glitzerwald-Verlinkung März 2025: 41 200 EUR netto</w:t>
      </w:r>
    </w:p>
    <w:p>
      <w:pPr>
        <w:pStyle w:val="ListBullet"/>
      </w:pPr>
      <w:r>
        <w:t>Direktverkäufe über Glitzerwald-Verlinkung März 2026 (nach Sperre): 4 700 EUR netto</w:t>
      </w:r>
    </w:p>
    <w:p>
      <w:pPr>
        <w:pStyle w:val="ListBullet"/>
      </w:pPr>
      <w:r>
        <w:t>E-Mail-Anfragen Restaurierungsaufträge März 2025: 73</w:t>
      </w:r>
    </w:p>
    <w:p>
      <w:pPr>
        <w:pStyle w:val="ListBullet"/>
      </w:pPr>
      <w:r>
        <w:t>E-Mail-Anfragen Restaurierungsaufträge März 2026: 12</w:t>
      </w:r>
    </w:p>
    <w:p>
      <w:pPr>
        <w:pStyle w:val="ListBullet"/>
      </w:pPr>
      <w:r>
        <w:t>Anfragen Hochzeitsausstattung "Dorfwirtshaussstil" stark eingebrochen</w:t>
      </w:r>
    </w:p>
    <w:p>
      <w:pPr>
        <w:pStyle w:val="Heading2"/>
      </w:pPr>
      <w:r>
        <w:rPr>
          <w:rFonts w:ascii="Times New Roman" w:hAnsi="Times New Roman"/>
        </w:rPr>
        <w:t>Sonstige Beobachtungen</w:t>
      </w:r>
    </w:p>
    <w:p>
      <w:pPr>
        <w:pStyle w:val="ListBullet"/>
      </w:pPr>
      <w:r>
        <w:t>Mandantin hat im Februar 2026 einen kritischen Beitrag zur Praxis automatisierter Inhaltsmoderation in Frauenunternehmen verfasst, der viral ging (47 000 Likes)</w:t>
      </w:r>
    </w:p>
    <w:p>
      <w:pPr>
        <w:pStyle w:val="ListBullet"/>
      </w:pPr>
      <w:r>
        <w:t>Dr. Vogelbroich (Universität Erlangen, Lehrstuhl für Digitalsoziologie) hat den Beitrag zitiert</w:t>
      </w:r>
    </w:p>
    <w:p>
      <w:pPr>
        <w:pStyle w:val="ListBullet"/>
      </w:pPr>
      <w:r>
        <w:t>Mandantin vermutet Zusammenhang, kann aber nichts belegen</w:t>
      </w:r>
    </w:p>
    <w:p>
      <w:pPr>
        <w:pStyle w:val="Heading2"/>
      </w:pPr>
      <w:r>
        <w:rPr>
          <w:rFonts w:ascii="Times New Roman" w:hAnsi="Times New Roman"/>
        </w:rPr>
        <w:t>Vereinbarte Schritte</w:t>
      </w:r>
    </w:p>
    <w:p>
      <w:pPr>
        <w:pStyle w:val="ListNumber"/>
      </w:pPr>
      <w:r>
        <w:rPr>
          <w:b/>
        </w:rPr>
        <w:t>Sofort:</w:t>
      </w:r>
      <w:r>
        <w:t xml:space="preserve"> Interne Beschwerde Art. 20 DSA über Plattform-Formular (RA'in Quasthoff-Prügelmann mit Refrendarin Pfistermeier)</w:t>
      </w:r>
    </w:p>
    <w:p>
      <w:pPr>
        <w:pStyle w:val="ListNumber"/>
      </w:pPr>
      <w:r>
        <w:rPr>
          <w:b/>
        </w:rPr>
        <w:t>Bis 10.04.:</w:t>
      </w:r>
      <w:r>
        <w:t xml:space="preserve"> DSGVO-Auskunftsverlangen Art. 15 versenden</w:t>
      </w:r>
    </w:p>
    <w:p>
      <w:pPr>
        <w:pStyle w:val="ListNumber"/>
      </w:pPr>
      <w:r>
        <w:rPr>
          <w:b/>
        </w:rPr>
        <w:t>Bis 15.04.:</w:t>
      </w:r>
      <w:r>
        <w:t xml:space="preserve"> Beweissicherung (Screenshots, Wayback, Drittarchive)</w:t>
      </w:r>
    </w:p>
    <w:p>
      <w:pPr>
        <w:pStyle w:val="ListNumber"/>
      </w:pPr>
      <w:r>
        <w:rPr>
          <w:b/>
        </w:rPr>
        <w:t>Bis 20.04.:</w:t>
      </w:r>
      <w:r>
        <w:t xml:space="preserve"> Umsatzauswertung Quartal anfertigen lassen (Steuerberater Bödecke-Kratzert, Bamberg)</w:t>
      </w:r>
    </w:p>
    <w:p>
      <w:pPr>
        <w:pStyle w:val="ListNumber"/>
      </w:pPr>
      <w:r>
        <w:rPr>
          <w:b/>
        </w:rPr>
        <w:t>Bis 30.04.:</w:t>
      </w:r>
      <w:r>
        <w:t xml:space="preserve"> Lagebeurteilung und Strategieentscheidung Eilantrag/Hauptsache/Beschwerde</w:t>
      </w:r>
    </w:p>
    <w:p>
      <w:pPr>
        <w:pStyle w:val="ListNumber"/>
      </w:pPr>
      <w:r>
        <w:t>Parallelbeobachtung: Was passiert mit Lindheim-Account? Ergibt sich Beleg für Self-Preferencing?</w:t>
      </w:r>
    </w:p>
    <w:p>
      <w:pPr>
        <w:pStyle w:val="Heading2"/>
      </w:pPr>
      <w:r>
        <w:rPr>
          <w:rFonts w:ascii="Times New Roman" w:hAnsi="Times New Roman"/>
        </w:rPr>
        <w:t>Hinweise an Mandantin</w:t>
      </w:r>
    </w:p>
    <w:p>
      <w:pPr>
        <w:pStyle w:val="ListBullet"/>
      </w:pPr>
      <w:r>
        <w:t>Keine eigenständige öffentliche Kommunikation zur Sperre, bis Strategie steht</w:t>
      </w:r>
    </w:p>
    <w:p>
      <w:pPr>
        <w:pStyle w:val="ListBullet"/>
      </w:pPr>
      <w:r>
        <w:t>Persönlichkeitsrecht: bei medialer Erwähnung von Glitzerwald-Mitarbeitern Vorsicht (Verbotsklauseln, einstweilige Verfügungen denkbar)</w:t>
      </w:r>
    </w:p>
    <w:p>
      <w:pPr>
        <w:pStyle w:val="ListBullet"/>
      </w:pPr>
      <w:r>
        <w:t>Kein paralleler Aufbau eines "Fake-Accounts" — würde Position schwächen</w:t>
      </w:r>
    </w:p>
    <w:p>
      <w:pPr>
        <w:jc w:val="left"/>
      </w:pPr>
      <w:r>
        <w:t>Protokoll geschlossen 17:10 Uhr. Mandantin verlangt Kopie.</w:t>
      </w:r>
    </w:p>
    <w:p>
      <w:pPr>
        <w:jc w:val="left"/>
      </w:pPr>
      <w:r>
        <w:t>Erlangen, 02.04.2026</w:t>
      </w:r>
    </w:p>
    <w:p>
      <w:pPr>
        <w:jc w:val="left"/>
      </w:pPr>
      <w:r>
        <w:t>Pfistermeier (Refrendarin)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