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Interne Beschwerde Art. 20 DSA — Verlauf</w:t>
      </w:r>
    </w:p>
    <w:p>
      <w:pPr>
        <w:pStyle w:val="Heading2"/>
      </w:pPr>
      <w:r>
        <w:rPr>
          <w:rFonts w:ascii="Times New Roman" w:hAnsi="Times New Roman"/>
        </w:rPr>
        <w:t>1. Beschwerde-Eingabe vom 17.03.2026</w:t>
      </w:r>
    </w:p>
    <w:p>
      <w:pPr>
        <w:jc w:val="left"/>
      </w:pPr>
      <w:r>
        <w:t xml:space="preserve">Eingereicht über </w:t>
      </w:r>
      <w:r>
        <w:t>glitzerwald.com/help/appeal/GW-2026-03-14-44291</w:t>
      </w:r>
      <w:r>
        <w:t xml:space="preserve"> durch RA'in Quasthoff-Prügelmann; bestätigt mit Ticket-Nr. </w:t>
      </w:r>
      <w:r>
        <w:rPr>
          <w:b/>
        </w:rPr>
        <w:t>GW-APP-2026-031744-77119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Wortlaut (gekürzt, deutsch übersetzt vom englischen Eingabeformular)</w:t>
      </w:r>
    </w:p>
    <w:p>
      <w:pPr>
        <w:ind w:left="567"/>
      </w:pPr>
      <w:r>
        <w:rPr>
          <w:i/>
        </w:rPr>
        <w:t>Sehr geehrtes Trust-and-Safety-Team,</w:t>
      </w:r>
    </w:p>
    <w:p>
      <w:pPr>
        <w:ind w:left="567"/>
      </w:pPr>
    </w:p>
    <w:p>
      <w:pPr>
        <w:ind w:left="567"/>
      </w:pPr>
      <w:r>
        <w:rPr>
          <w:i/>
        </w:rPr>
        <w:t>ich vertrete die Baustube Meißnerlein GmbH (Account @baustube_meissnerlein), deren Profil am 14.03.2026 ohne erkennbare Vorwarnung gesperrt wurde. Die Sperrmitteilung enthält die abstrakten Vorwürfe "Coordinated Inauthentic Behavior" und "Spam-like Engagement Patterns" ohne jede Konkretisierung.</w:t>
      </w:r>
    </w:p>
    <w:p>
      <w:pPr>
        <w:ind w:left="567"/>
      </w:pPr>
    </w:p>
    <w:p>
      <w:pPr>
        <w:ind w:left="567"/>
      </w:pPr>
      <w:r>
        <w:rPr>
          <w:i/>
        </w:rPr>
        <w:t>Nach Art. 17 Abs. 3 DSA ist eine klare und spezifische Begründung erforderlich, die insbesondere den zugrunde liegenden Sachverhalt enthält. Die übermittelte Mitteilung genügt dem nicht. Ich bitte um:</w:t>
      </w:r>
    </w:p>
    <w:p>
      <w:pPr>
        <w:ind w:left="567"/>
      </w:pPr>
    </w:p>
    <w:p>
      <w:pPr>
        <w:ind w:left="567"/>
      </w:pPr>
      <w:r>
        <w:rPr>
          <w:i/>
        </w:rPr>
        <w:t>1. Konkrete Tatsachenbenennung</w:t>
      </w:r>
    </w:p>
    <w:p>
      <w:pPr>
        <w:ind w:left="567"/>
      </w:pPr>
      <w:r>
        <w:rPr>
          <w:i/>
        </w:rPr>
        <w:t>2. Hinweis auf die einschlägige Klausel der Community Standards</w:t>
      </w:r>
    </w:p>
    <w:p>
      <w:pPr>
        <w:ind w:left="567"/>
      </w:pPr>
      <w:r>
        <w:rPr>
          <w:i/>
        </w:rPr>
        <w:t>3. Auskunft, ob die Entscheidung automatisiert getroffen wurde</w:t>
      </w:r>
    </w:p>
    <w:p>
      <w:pPr>
        <w:ind w:left="567"/>
      </w:pPr>
      <w:r>
        <w:rPr>
          <w:i/>
        </w:rPr>
        <w:t>4. Bei Beibehaltung der Sperre: Anhörung mit menschlicher Überprüfung nach Art. 20 Abs. 6 DSA</w:t>
      </w:r>
    </w:p>
    <w:p>
      <w:pPr>
        <w:ind w:left="567"/>
      </w:pPr>
    </w:p>
    <w:p>
      <w:pPr>
        <w:ind w:left="567"/>
      </w:pPr>
      <w:r>
        <w:rPr>
          <w:i/>
        </w:rPr>
        <w:t>Die Mandantin betreibt den Account persönlich und beauftragt keine Engagement-Dienstleister. Sie ist seit 2014 als verifizierte Geschäftsadresse registriert. Der wirtschaftliche Schaden durch die Sperre ist erheblich (vorläufig geschätzt &gt; 35 000 EUR/Monat).</w:t>
      </w:r>
    </w:p>
    <w:p>
      <w:pPr>
        <w:ind w:left="567"/>
      </w:pPr>
    </w:p>
    <w:p>
      <w:pPr>
        <w:ind w:left="567"/>
      </w:pPr>
      <w:r>
        <w:rPr>
          <w:i/>
        </w:rPr>
        <w:t>Mit freundlichen Grüßen</w:t>
      </w:r>
    </w:p>
    <w:p>
      <w:pPr>
        <w:ind w:left="567"/>
      </w:pPr>
      <w:r>
        <w:rPr>
          <w:i/>
        </w:rPr>
        <w:t>RA'in Friedlinde Quasthoff-Prügelmann</w:t>
      </w:r>
    </w:p>
    <w:p>
      <w:pPr>
        <w:pStyle w:val="Heading2"/>
      </w:pPr>
      <w:r>
        <w:rPr>
          <w:rFonts w:ascii="Times New Roman" w:hAnsi="Times New Roman"/>
        </w:rPr>
        <w:t>2. Eingangsbestätigung 17.03.2026 12:08 UTC</w:t>
      </w:r>
    </w:p>
    <w:p>
      <w:pPr>
        <w:jc w:val="left"/>
      </w:pPr>
      <w:r>
        <w:t>Automatisierte Empfangsbestätigung. Sachbearbeitungsfrist: "up to 30 days".</w:t>
      </w:r>
    </w:p>
    <w:p>
      <w:pPr>
        <w:pStyle w:val="Heading2"/>
      </w:pPr>
      <w:r>
        <w:rPr>
          <w:rFonts w:ascii="Times New Roman" w:hAnsi="Times New Roman"/>
        </w:rPr>
        <w:t>3. Zwischennachricht 26.03.2026 — "Additional Information Requested"</w:t>
      </w:r>
    </w:p>
    <w:p>
      <w:pPr>
        <w:jc w:val="left"/>
      </w:pPr>
      <w:r>
        <w:t>Glitzerwald forderte:</w:t>
      </w:r>
    </w:p>
    <w:p>
      <w:pPr>
        <w:pStyle w:val="ListBullet"/>
      </w:pPr>
      <w:r>
        <w:t>"Government-issued ID" der Beschwerdeführerin</w:t>
      </w:r>
    </w:p>
    <w:p>
      <w:pPr>
        <w:pStyle w:val="ListBullet"/>
      </w:pPr>
      <w:r>
        <w:t>"Proof of authorized representation"</w:t>
      </w:r>
    </w:p>
    <w:p>
      <w:pPr>
        <w:pStyle w:val="ListBullet"/>
      </w:pPr>
      <w:r>
        <w:t>"Examples of authentic engagement"</w:t>
      </w:r>
    </w:p>
    <w:p>
      <w:pPr>
        <w:jc w:val="left"/>
      </w:pPr>
      <w:r>
        <w:t>Letzteres ist absurd, weil die Mandantin keinen Zugriff mehr auf ihre Engagement-Daten hat (Account gesperrt). RA'in Quasthoff-Prügelmann hat die Vollmacht und einen Auszug des Engagement-Exports vom 13.03.2026 nachgereicht.</w:t>
      </w:r>
    </w:p>
    <w:p>
      <w:pPr>
        <w:pStyle w:val="Heading2"/>
      </w:pPr>
      <w:r>
        <w:rPr>
          <w:rFonts w:ascii="Times New Roman" w:hAnsi="Times New Roman"/>
        </w:rPr>
        <w:t>4. Beschwerde-Entscheidung 09.04.2026</w:t>
      </w:r>
    </w:p>
    <w:p>
      <w:pPr>
        <w:jc w:val="left"/>
      </w:pPr>
      <w:r>
        <w:t>Wortlaut (englisches Original):</w:t>
      </w:r>
    </w:p>
    <w:p>
      <w:pPr>
        <w:ind w:left="567"/>
      </w:pPr>
      <w:r>
        <w:rPr>
          <w:i/>
        </w:rPr>
        <w:t>Dear @baustube_meissnerlein,</w:t>
      </w:r>
    </w:p>
    <w:p>
      <w:pPr>
        <w:ind w:left="567"/>
      </w:pPr>
    </w:p>
    <w:p>
      <w:pPr>
        <w:ind w:left="567"/>
      </w:pPr>
      <w:r>
        <w:rPr>
          <w:i/>
        </w:rPr>
        <w:t>Thank you for your appeal. After human review, we have determined</w:t>
      </w:r>
    </w:p>
    <w:p>
      <w:pPr>
        <w:ind w:left="567"/>
      </w:pPr>
      <w:r>
        <w:rPr>
          <w:i/>
        </w:rPr>
        <w:t>that our original decision to restrict your account was consistent</w:t>
      </w:r>
    </w:p>
    <w:p>
      <w:pPr>
        <w:ind w:left="567"/>
      </w:pPr>
      <w:r>
        <w:rPr>
          <w:i/>
        </w:rPr>
        <w:t>with our Community Standards. The account will remain suspended.</w:t>
      </w:r>
    </w:p>
    <w:p>
      <w:pPr>
        <w:ind w:left="567"/>
      </w:pPr>
    </w:p>
    <w:p>
      <w:pPr>
        <w:ind w:left="567"/>
      </w:pPr>
      <w:r>
        <w:rPr>
          <w:i/>
        </w:rPr>
        <w:t>Our review confirmed patterns of engagement that are inconsistent</w:t>
      </w:r>
    </w:p>
    <w:p>
      <w:pPr>
        <w:ind w:left="567"/>
      </w:pPr>
      <w:r>
        <w:rPr>
          <w:i/>
        </w:rPr>
        <w:t>with organic user activity. We are unable to share further detail</w:t>
      </w:r>
    </w:p>
    <w:p>
      <w:pPr>
        <w:ind w:left="567"/>
      </w:pPr>
      <w:r>
        <w:rPr>
          <w:i/>
        </w:rPr>
        <w:t>as this information would compromise the integrity of our automated</w:t>
      </w:r>
    </w:p>
    <w:p>
      <w:pPr>
        <w:ind w:left="567"/>
      </w:pPr>
      <w:r>
        <w:rPr>
          <w:i/>
        </w:rPr>
        <w:t>detection systems.</w:t>
      </w:r>
    </w:p>
    <w:p>
      <w:pPr>
        <w:ind w:left="567"/>
      </w:pPr>
    </w:p>
    <w:p>
      <w:pPr>
        <w:ind w:left="567"/>
      </w:pPr>
      <w:r>
        <w:rPr>
          <w:i/>
        </w:rPr>
        <w:t>If you wish to pursue out-of-court dispute resolution, please refer</w:t>
      </w:r>
    </w:p>
    <w:p>
      <w:pPr>
        <w:ind w:left="567"/>
      </w:pPr>
      <w:r>
        <w:rPr>
          <w:i/>
        </w:rPr>
        <w:t>to the certified bodies listed at: https://help.glitzerwald.com/dsa-art-21</w:t>
      </w:r>
    </w:p>
    <w:p>
      <w:pPr>
        <w:ind w:left="567"/>
      </w:pPr>
    </w:p>
    <w:p>
      <w:pPr>
        <w:ind w:left="567"/>
      </w:pPr>
      <w:r>
        <w:rPr>
          <w:i/>
        </w:rPr>
        <w:t>Glitzerwald Trust &amp; Safety Review Team</w:t>
      </w:r>
    </w:p>
    <w:p>
      <w:pPr>
        <w:pStyle w:val="Heading2"/>
      </w:pPr>
      <w:r>
        <w:rPr>
          <w:rFonts w:ascii="Times New Roman" w:hAnsi="Times New Roman"/>
        </w:rPr>
        <w:t>5. Bewertung Kanzlei</w:t>
      </w:r>
    </w:p>
    <w:p>
      <w:pPr>
        <w:pStyle w:val="ListBullet"/>
      </w:pPr>
      <w:r>
        <w:rPr>
          <w:b/>
        </w:rPr>
        <w:t>Begründungsmangel persistiert</w:t>
      </w:r>
      <w:r>
        <w:t xml:space="preserve"> — pauschaler Verweis auf "patterns" ohne konkrete Tatsachen verletzt Art. 17 Abs. 3 DSA, Art. 20 Abs. 6 DSA.</w:t>
      </w:r>
    </w:p>
    <w:p>
      <w:pPr>
        <w:pStyle w:val="ListBullet"/>
      </w:pPr>
      <w:r>
        <w:rPr>
          <w:b/>
        </w:rPr>
        <w:t>"Human Review" als Floskel</w:t>
      </w:r>
      <w:r>
        <w:t>: Plattform behauptet menschliche Überprüfung, gibt aber weder Reviewer-Kennung noch Reviewer-Zeitstempel noch Methodik an. Verstoß gegen Art. 20 Abs. 6 DSA "vorbehaltlich rein automatisierter Mittel" — hier ist nicht nachweisbar, ob tatsächlich menschlich geprüft wurde.</w:t>
      </w:r>
    </w:p>
    <w:p>
      <w:pPr>
        <w:pStyle w:val="ListBullet"/>
      </w:pPr>
      <w:r>
        <w:rPr>
          <w:b/>
        </w:rPr>
        <w:t>Vorenthaltung der Tatsachen unter Berufung auf Integrität der Detektion</w:t>
      </w:r>
      <w:r>
        <w:t>: kein anerkanntes Geheimhaltungsinteresse; jedenfalls hätte eine pseudonymisierte oder kategoriale Darlegung erfolgen können.</w:t>
      </w:r>
    </w:p>
    <w:p>
      <w:pPr>
        <w:pStyle w:val="ListBullet"/>
      </w:pPr>
      <w:r>
        <w:rPr>
          <w:b/>
        </w:rPr>
        <w:t>ADR-Hinweis vorhanden</w:t>
      </w:r>
      <w:r>
        <w:t xml:space="preserve"> — Klägerin könnte sich an zertifizierte deutsche ADR-Stelle wenden; allerdings Verfahrensdauer und Nicht-Bindungswirkung lassen Klageweg vorziehen.</w:t>
      </w:r>
    </w:p>
    <w:p>
      <w:pPr>
        <w:jc w:val="left"/>
      </w:pPr>
      <w:r>
        <w:t>Erlangen, 10.04.2026</w:t>
      </w:r>
    </w:p>
    <w:p>
      <w:pPr>
        <w:jc w:val="left"/>
      </w:pPr>
      <w:r>
        <w:t>Dr. C. Hagenroth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