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DSGVO-Auskunftsverlangen Art. 15 — Verlauf</w:t>
      </w:r>
    </w:p>
    <w:p>
      <w:pPr>
        <w:pStyle w:val="Heading2"/>
      </w:pPr>
      <w:r>
        <w:rPr>
          <w:rFonts w:ascii="Times New Roman" w:hAnsi="Times New Roman"/>
        </w:rPr>
        <w:t>1. Antrag vom 22.03.2026</w:t>
      </w:r>
    </w:p>
    <w:p>
      <w:pPr>
        <w:jc w:val="left"/>
      </w:pPr>
      <w:r>
        <w:t>Adressiert an:</w:t>
      </w:r>
    </w:p>
    <w:p>
      <w:pPr>
        <w:pStyle w:val="ListBullet"/>
      </w:pPr>
      <w:r>
        <w:t>privacy@glitzerwald.com (Konzernpostfach)</w:t>
      </w:r>
    </w:p>
    <w:p>
      <w:pPr>
        <w:pStyle w:val="ListBullet"/>
      </w:pPr>
      <w:r>
        <w:t>dpo@glitzerwald-ireland.com (DPO Irland, gemäß Datenschutzhinweisen Plattform)</w:t>
      </w:r>
    </w:p>
    <w:p>
      <w:pPr>
        <w:pStyle w:val="ListBullet"/>
      </w:pPr>
      <w:r>
        <w:t>presse@bnetza.de (nachrichtlich, im Kontext DSC-Beschwerde)</w:t>
      </w:r>
    </w:p>
    <w:p>
      <w:pPr>
        <w:jc w:val="left"/>
      </w:pPr>
      <w:r>
        <w:t>Inhalt:</w:t>
      </w:r>
    </w:p>
    <w:p>
      <w:pPr>
        <w:pStyle w:val="ListNumber"/>
      </w:pPr>
      <w:r>
        <w:rPr>
          <w:b/>
        </w:rPr>
        <w:t>Kategorien</w:t>
      </w:r>
      <w:r>
        <w:t xml:space="preserve"> der bei der Mandantin verarbeiteten personenbezogenen Daten</w:t>
      </w:r>
    </w:p>
    <w:p>
      <w:pPr>
        <w:pStyle w:val="ListNumber"/>
      </w:pPr>
      <w:r>
        <w:rPr>
          <w:b/>
        </w:rPr>
        <w:t>Empfänger</w:t>
      </w:r>
      <w:r>
        <w:t xml:space="preserve"> und Kategorien von Empfängern</w:t>
      </w:r>
    </w:p>
    <w:p>
      <w:pPr>
        <w:pStyle w:val="ListNumber"/>
      </w:pPr>
      <w:r>
        <w:rPr>
          <w:b/>
        </w:rPr>
        <w:t>Speicherdauer</w:t>
      </w:r>
    </w:p>
    <w:p>
      <w:pPr>
        <w:pStyle w:val="ListNumber"/>
      </w:pPr>
      <w:r>
        <w:rPr>
          <w:b/>
        </w:rPr>
        <w:t>Recht auf Berichtigung, Löschung, Einschränkung</w:t>
      </w:r>
    </w:p>
    <w:p>
      <w:pPr>
        <w:pStyle w:val="ListNumber"/>
      </w:pPr>
      <w:r>
        <w:rPr>
          <w:b/>
        </w:rPr>
        <w:t>Quelle der Daten</w:t>
      </w:r>
      <w:r>
        <w:t>, soweit nicht von Mandantin selbst</w:t>
      </w:r>
    </w:p>
    <w:p>
      <w:pPr>
        <w:pStyle w:val="ListNumber"/>
      </w:pPr>
      <w:r>
        <w:rPr>
          <w:b/>
        </w:rPr>
        <w:t>Automatisierte Entscheidungsfindung einschließlich Profiling</w:t>
      </w:r>
      <w:r>
        <w:t xml:space="preserve"> (Art. 15 Abs. 1 lit. h, Art. 22)</w:t>
      </w:r>
    </w:p>
    <w:p>
      <w:pPr>
        <w:pStyle w:val="ListNumber"/>
      </w:pPr>
      <w:r>
        <w:rPr>
          <w:b/>
        </w:rPr>
        <w:t>Logik der automatisierten Entscheidung</w:t>
      </w:r>
      <w:r>
        <w:t>, die zur Account-Sperre führte</w:t>
      </w:r>
    </w:p>
    <w:p>
      <w:pPr>
        <w:pStyle w:val="ListNumber"/>
      </w:pPr>
      <w:r>
        <w:rPr>
          <w:b/>
        </w:rPr>
        <w:t>Bedeutung und tragweite</w:t>
      </w:r>
      <w:r>
        <w:t xml:space="preserve"> dieser automatisierten Entscheidung</w:t>
      </w:r>
    </w:p>
    <w:p>
      <w:pPr>
        <w:pStyle w:val="Heading2"/>
      </w:pPr>
      <w:r>
        <w:rPr>
          <w:rFonts w:ascii="Times New Roman" w:hAnsi="Times New Roman"/>
        </w:rPr>
        <w:t>2. Zwischenantwort 03.04.2026</w:t>
      </w:r>
    </w:p>
    <w:p>
      <w:pPr>
        <w:jc w:val="left"/>
      </w:pPr>
      <w:r>
        <w:t>Glitzerwald Networks Ireland Ltd. bestätigt Eingang. Verweist auf 30-Tage-Frist nach Art. 12 Abs. 3 DSGVO. Identitätsprüfung notwendig — Personalausweis-Kopie angefordert. Mandantin sendet teilgeschwärzte Kopie (Lichtbild + Name lesbar, Rest geschwärzt).</w:t>
      </w:r>
    </w:p>
    <w:p>
      <w:pPr>
        <w:pStyle w:val="Heading2"/>
      </w:pPr>
      <w:r>
        <w:rPr>
          <w:rFonts w:ascii="Times New Roman" w:hAnsi="Times New Roman"/>
        </w:rPr>
        <w:t>3. Auskunft 23.04.2026</w:t>
      </w:r>
    </w:p>
    <w:p>
      <w:pPr>
        <w:jc w:val="left"/>
      </w:pPr>
      <w:r>
        <w:t>Übermittelt per Download-Link (gültig 7 Tage). Inhalt:</w:t>
      </w:r>
    </w:p>
    <w:p>
      <w:pPr>
        <w:pStyle w:val="ListBullet"/>
      </w:pPr>
      <w:r>
        <w:t>412-seitiges JSON-Export</w:t>
      </w:r>
    </w:p>
    <w:p>
      <w:pPr>
        <w:pStyle w:val="ListBullet"/>
      </w:pPr>
      <w:r>
        <w:t>Auflistung: 87 412 Followers, 1 247 Posts, 14.9 Mio. Impressions Lifetime, Engagement-Rate 6.2 %</w:t>
      </w:r>
    </w:p>
    <w:p>
      <w:pPr>
        <w:pStyle w:val="ListBullet"/>
      </w:pPr>
      <w:r>
        <w:rPr>
          <w:b/>
        </w:rPr>
        <w:t>Kategorien:</w:t>
      </w:r>
      <w:r>
        <w:t xml:space="preserve"> "Account information, content, engagement signals, device signals, geolocation signals (approximate), interaction graph (derived)"</w:t>
      </w:r>
    </w:p>
    <w:p>
      <w:pPr>
        <w:pStyle w:val="ListBullet"/>
      </w:pPr>
      <w:r>
        <w:rPr>
          <w:b/>
        </w:rPr>
        <w:t>Empfänger:</w:t>
      </w:r>
      <w:r>
        <w:t xml:space="preserve"> "Internal trust &amp; safety teams, external auditors under Article 37 DSA (KPMG Ireland), law enforcement upon valid request, advertising partners (anonymized)"</w:t>
      </w:r>
    </w:p>
    <w:p>
      <w:pPr>
        <w:pStyle w:val="ListBullet"/>
      </w:pPr>
      <w:r>
        <w:rPr>
          <w:b/>
        </w:rPr>
        <w:t>Logik der automatisierten Entscheidung:</w:t>
      </w:r>
    </w:p>
    <w:p>
      <w:pPr>
        <w:ind w:left="567"/>
      </w:pPr>
      <w:r>
        <w:rPr>
          <w:i/>
        </w:rPr>
        <w:t>Our integrity systems use a layered detection approach combining</w:t>
      </w:r>
    </w:p>
    <w:p>
      <w:pPr>
        <w:ind w:left="567"/>
      </w:pPr>
      <w:r>
        <w:rPr>
          <w:i/>
        </w:rPr>
        <w:t>graph-based pattern analysis, behavioral signals (timing, device,</w:t>
      </w:r>
    </w:p>
    <w:p>
      <w:pPr>
        <w:ind w:left="567"/>
      </w:pPr>
      <w:r>
        <w:rPr>
          <w:i/>
        </w:rPr>
        <w:t>network), engagement velocity metrics, and content-based heuristics.</w:t>
      </w:r>
    </w:p>
    <w:p>
      <w:pPr>
        <w:ind w:left="567"/>
      </w:pPr>
      <w:r>
        <w:rPr>
          <w:i/>
        </w:rPr>
        <w:t>The system produced an aggregated risk score above the action</w:t>
      </w:r>
    </w:p>
    <w:p>
      <w:pPr>
        <w:ind w:left="567"/>
      </w:pPr>
      <w:r>
        <w:rPr>
          <w:i/>
        </w:rPr>
        <w:t>threshold on 13 March 2026 at 23:42 UTC. Specific feature values</w:t>
      </w:r>
    </w:p>
    <w:p>
      <w:pPr>
        <w:ind w:left="567"/>
      </w:pPr>
      <w:r>
        <w:rPr>
          <w:i/>
        </w:rPr>
        <w:t>and weights are proprietary and cannot be disclosed as this would</w:t>
      </w:r>
    </w:p>
    <w:p>
      <w:pPr>
        <w:ind w:left="567"/>
      </w:pPr>
      <w:r>
        <w:rPr>
          <w:i/>
        </w:rPr>
        <w:t>compromise system integrity.</w:t>
      </w:r>
    </w:p>
    <w:p>
      <w:pPr>
        <w:pStyle w:val="ListBullet"/>
      </w:pPr>
      <w:r>
        <w:rPr>
          <w:b/>
        </w:rPr>
        <w:t>Bedeutung und Tragweite:</w:t>
      </w:r>
    </w:p>
    <w:p>
      <w:pPr>
        <w:ind w:left="567"/>
      </w:pPr>
      <w:r>
        <w:rPr>
          <w:i/>
        </w:rPr>
        <w:t>The decision resulted in indefinite account suspension and removal</w:t>
      </w:r>
    </w:p>
    <w:p>
      <w:pPr>
        <w:ind w:left="567"/>
      </w:pPr>
      <w:r>
        <w:rPr>
          <w:i/>
        </w:rPr>
        <w:t>of all posted content from public access. Internal data is retained</w:t>
      </w:r>
    </w:p>
    <w:p>
      <w:pPr>
        <w:ind w:left="567"/>
      </w:pPr>
      <w:r>
        <w:rPr>
          <w:i/>
        </w:rPr>
        <w:t>for 12 months for audit and legal compliance purposes.</w:t>
      </w:r>
    </w:p>
    <w:p>
      <w:pPr>
        <w:pStyle w:val="Heading2"/>
      </w:pPr>
      <w:r>
        <w:rPr>
          <w:rFonts w:ascii="Times New Roman" w:hAnsi="Times New Roman"/>
        </w:rPr>
        <w:t>4. Bewertung Kanzlei</w:t>
      </w:r>
    </w:p>
    <w:p>
      <w:pPr>
        <w:jc w:val="left"/>
      </w:pPr>
      <w:r>
        <w:rPr>
          <w:b/>
        </w:rPr>
        <w:t>Positiv:</w:t>
      </w:r>
    </w:p>
    <w:p>
      <w:pPr>
        <w:pStyle w:val="ListBullet"/>
      </w:pPr>
      <w:r>
        <w:t>Wesentliche Datenkategorien benannt</w:t>
      </w:r>
    </w:p>
    <w:p>
      <w:pPr>
        <w:pStyle w:val="ListBullet"/>
      </w:pPr>
      <w:r>
        <w:t>Auskunft zur automatisierten Entscheidung dem Grunde nach gegeben</w:t>
      </w:r>
    </w:p>
    <w:p>
      <w:pPr>
        <w:pStyle w:val="ListBullet"/>
      </w:pPr>
      <w:r>
        <w:t>DPO bzw. zuständige Aufsicht identifizierbar (irische DSC)</w:t>
      </w:r>
    </w:p>
    <w:p>
      <w:pPr>
        <w:jc w:val="left"/>
      </w:pPr>
      <w:r>
        <w:rPr>
          <w:b/>
        </w:rPr>
        <w:t>Negativ:</w:t>
      </w:r>
    </w:p>
    <w:p>
      <w:pPr>
        <w:pStyle w:val="ListBullet"/>
      </w:pPr>
      <w:r>
        <w:t xml:space="preserve">"Logik" wird verweigert mit Berufung auf Systemintegrität — EuGH 27.02.2025 C-203/22 (Dun &amp; Bradstreet Austria) verlangt aber </w:t>
      </w:r>
      <w:r>
        <w:rPr>
          <w:b/>
        </w:rPr>
        <w:t>aussagekräftige Informationen zur Logik</w:t>
      </w:r>
      <w:r>
        <w:t xml:space="preserve"> unter Wahrung von Geschäftsgeheimnissen; pauschale Verweigerung unzulässig</w:t>
      </w:r>
    </w:p>
    <w:p>
      <w:pPr>
        <w:pStyle w:val="ListBullet"/>
      </w:pPr>
      <w:r>
        <w:rPr>
          <w:b/>
        </w:rPr>
        <w:t>Schweregrad der Entscheidung</w:t>
      </w:r>
      <w:r>
        <w:t xml:space="preserve"> (irreversibler Reichweitenverlust 87 000+ Abos) hätte erhöhte Begründungsanforderung ausgelöst</w:t>
      </w:r>
    </w:p>
    <w:p>
      <w:pPr>
        <w:pStyle w:val="ListBullet"/>
      </w:pPr>
      <w:r>
        <w:t xml:space="preserve">Mandantin kann </w:t>
      </w:r>
      <w:r>
        <w:rPr>
          <w:b/>
        </w:rPr>
        <w:t>Berichtigungsanspruch</w:t>
      </w:r>
      <w:r>
        <w:t xml:space="preserve"> nach Art. 16 DSGVO geltend machen, sobald sie konkrete falsche interne Daten identifiziert (z. B. fälschliche Bot-Markierung)</w:t>
      </w:r>
    </w:p>
    <w:p>
      <w:pPr>
        <w:pStyle w:val="ListBullet"/>
      </w:pPr>
      <w:r>
        <w:rPr>
          <w:b/>
        </w:rPr>
        <w:t>Schadensersatz nach Art. 82 DSGVO</w:t>
      </w:r>
      <w:r>
        <w:t xml:space="preserve"> möglich; Erschwerend: Schaden quantifiziert in Akte 07</w:t>
      </w:r>
    </w:p>
    <w:p>
      <w:pPr>
        <w:pStyle w:val="Heading2"/>
      </w:pPr>
      <w:r>
        <w:rPr>
          <w:rFonts w:ascii="Times New Roman" w:hAnsi="Times New Roman"/>
        </w:rPr>
        <w:t>5. Beschwerde bei Aufsichtsbehörde</w:t>
      </w:r>
    </w:p>
    <w:p>
      <w:pPr>
        <w:jc w:val="left"/>
      </w:pPr>
      <w:r>
        <w:t>Geplant: Beschwerde nach Art. 77 DSGVO</w:t>
      </w:r>
    </w:p>
    <w:p>
      <w:pPr>
        <w:pStyle w:val="ListBullet"/>
      </w:pPr>
      <w:r>
        <w:t>primär: irische Data Protection Commission (Lead-Aufsicht für Glitzerwald Networks Ireland Ltd.)</w:t>
      </w:r>
    </w:p>
    <w:p>
      <w:pPr>
        <w:pStyle w:val="ListBullet"/>
      </w:pPr>
      <w:r>
        <w:t>nachrichtlich: BayLDA (Bayerisches Landesamt für Datenschutzaufsicht), als Aufsichtsbehörde am Sitz der Mandantin</w:t>
      </w:r>
    </w:p>
    <w:p>
      <w:pPr>
        <w:jc w:val="left"/>
      </w:pPr>
      <w:r>
        <w:t>Verzahnung mit DSC-Beschwerde gemäß Akte 09 zu prüfen — Doppelbefassung vermeiden, aber Aktiv-/Passivlegitimation klären.</w:t>
      </w:r>
    </w:p>
    <w:p>
      <w:pPr>
        <w:jc w:val="left"/>
      </w:pPr>
      <w:r>
        <w:t>Erlangen, 04.05.2026</w:t>
      </w:r>
    </w:p>
    <w:p>
      <w:pPr>
        <w:jc w:val="left"/>
      </w:pPr>
      <w:r>
        <w:t>Dr. C. Hagenroth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