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Forschungsantrag Dr. Vogelbroich — Art. 40 DSA (Kopie zur Akte)</w:t>
      </w:r>
    </w:p>
    <w:p>
      <w:pPr>
        <w:jc w:val="left"/>
      </w:pPr>
      <w:r>
        <w:rPr>
          <w:b/>
        </w:rPr>
        <w:t>Antragstellerin:</w:t>
      </w:r>
    </w:p>
    <w:p>
      <w:pPr>
        <w:jc w:val="left"/>
      </w:pPr>
      <w:r>
        <w:t>Dr. Adelgunde Vogelbroich</w:t>
      </w:r>
    </w:p>
    <w:p>
      <w:pPr>
        <w:jc w:val="left"/>
      </w:pPr>
      <w:r>
        <w:t>Universität Erlangen-Nürnberg</w:t>
      </w:r>
    </w:p>
    <w:p>
      <w:pPr>
        <w:jc w:val="left"/>
      </w:pPr>
      <w:r>
        <w:t>Lehrstuhl für Digitalsoziologie und Plattformforschung</w:t>
      </w:r>
    </w:p>
    <w:p>
      <w:pPr>
        <w:jc w:val="left"/>
      </w:pPr>
      <w:r>
        <w:t>Schlossplatz 4, 91054 Erlangen</w:t>
      </w:r>
    </w:p>
    <w:p>
      <w:pPr>
        <w:jc w:val="left"/>
      </w:pPr>
      <w:r>
        <w:t>E-Mail: adelgunde.vogelbroich@fau.de</w:t>
      </w:r>
    </w:p>
    <w:p>
      <w:pPr>
        <w:jc w:val="left"/>
      </w:pPr>
      <w:r>
        <w:t>ORCID: 0000-0002-7148-3982</w:t>
      </w:r>
    </w:p>
    <w:p>
      <w:pPr>
        <w:jc w:val="left"/>
      </w:pPr>
      <w:r>
        <w:rPr>
          <w:b/>
        </w:rPr>
        <w:t>Adressat:</w:t>
      </w:r>
      <w:r>
        <w:t xml:space="preserve"> Coimisiún na Meán (DSC Irland) zur Weiterleitung an Glitzerwald Networks Ireland Ltd.</w:t>
      </w:r>
    </w:p>
    <w:p>
      <w:pPr>
        <w:jc w:val="left"/>
      </w:pPr>
      <w:r>
        <w:rPr>
          <w:b/>
        </w:rPr>
        <w:t>Datum:</w:t>
      </w:r>
      <w:r>
        <w:t xml:space="preserve"> 21.04.2026</w:t>
      </w:r>
    </w:p>
    <w:p>
      <w:pPr>
        <w:jc w:val="left"/>
      </w:pPr>
      <w:r>
        <w:rPr>
          <w:b/>
        </w:rPr>
        <w:t>Kennzeichen DSC Irland:</w:t>
      </w:r>
      <w:r>
        <w:t xml:space="preserve"> ART40-IE-2026-00417 (zugeteilt 03.05.2026)</w:t>
      </w:r>
    </w:p>
    <w:p>
      <w:pPr>
        <w:pStyle w:val="Heading2"/>
      </w:pPr>
      <w:r>
        <w:rPr>
          <w:rFonts w:ascii="Times New Roman" w:hAnsi="Times New Roman"/>
        </w:rPr>
        <w:t>1. Forschungsfrage</w:t>
      </w:r>
    </w:p>
    <w:p>
      <w:pPr>
        <w:ind w:left="567"/>
      </w:pPr>
      <w:r>
        <w:rPr>
          <w:i/>
        </w:rPr>
        <w:t>Wie werden Konten von kleinen, von Frauen geführten Handwerks- und Restaurierungsbetrieben in DACH-Sprachräumen auf der Plattform Glitzerwald durch automatisierte Inhaltsmoderation und Empfehlungssysteme behandelt, und wie unterscheidet sich die Behandlung von vergleichbaren Konten in Mehrheitsbesitz männlicher Geschäftsführer?</w:t>
      </w:r>
    </w:p>
    <w:p>
      <w:pPr>
        <w:pStyle w:val="Heading2"/>
      </w:pPr>
      <w:r>
        <w:rPr>
          <w:rFonts w:ascii="Times New Roman" w:hAnsi="Times New Roman"/>
        </w:rPr>
        <w:t>2. Wissenschaftliche Methodik</w:t>
      </w:r>
    </w:p>
    <w:p>
      <w:pPr>
        <w:pStyle w:val="ListBullet"/>
      </w:pPr>
      <w:r>
        <w:rPr>
          <w:b/>
        </w:rPr>
        <w:t>Mixed-methods-Studie</w:t>
      </w:r>
      <w:r>
        <w:t>: quantitative Auswertung Engagement- und Sichtbarkeits-Daten + qualitative Tiefeninterviews mit 32 Account-Inhaberinnen</w:t>
      </w:r>
    </w:p>
    <w:p>
      <w:pPr>
        <w:pStyle w:val="ListBullet"/>
      </w:pPr>
      <w:r>
        <w:rPr>
          <w:b/>
        </w:rPr>
        <w:t>Vergleichsgruppe</w:t>
      </w:r>
      <w:r>
        <w:t>: 32 vergleichbare Accounts männlicher GF</w:t>
      </w:r>
    </w:p>
    <w:p>
      <w:pPr>
        <w:pStyle w:val="ListBullet"/>
      </w:pPr>
      <w:r>
        <w:rPr>
          <w:b/>
        </w:rPr>
        <w:t>Datenbedarf:</w:t>
      </w:r>
      <w:r>
        <w:t xml:space="preserve"> Reach-, Impressions-, Engagement-Velocity-Daten + Information zu Moderations-Aktionen (Sperren, Sichtbarkeitsbeschränkungen, Warnungen) im Zeitraum 01.01.2024 — 30.06.2026</w:t>
      </w:r>
    </w:p>
    <w:p>
      <w:pPr>
        <w:pStyle w:val="ListBullet"/>
      </w:pPr>
      <w:r>
        <w:rPr>
          <w:b/>
        </w:rPr>
        <w:t>Datenform:</w:t>
      </w:r>
      <w:r>
        <w:t xml:space="preserve"> pseudonymisierte Account-IDs, aggregierte Kennzahlen je Account und Monat; keine Klarnamen, keine privaten Nachrichten</w:t>
      </w:r>
    </w:p>
    <w:p>
      <w:pPr>
        <w:pStyle w:val="ListBullet"/>
      </w:pPr>
      <w:r>
        <w:rPr>
          <w:b/>
        </w:rPr>
        <w:t>Datenschutz:</w:t>
      </w:r>
      <w:r>
        <w:t xml:space="preserve"> Daten werden in einem von der FAU bereitgestellten sicheren Datenraum (FAU-CompCenter, ISO/IEC 27001:2022) verarbeitet. Re-Identifikationsrisiko minimiert; Schwellenwert k ≥ 5.</w:t>
      </w:r>
    </w:p>
    <w:p>
      <w:pPr>
        <w:pStyle w:val="ListBullet"/>
      </w:pPr>
      <w:r>
        <w:rPr>
          <w:b/>
        </w:rPr>
        <w:t>Ergebnis-Veröffentlichung</w:t>
      </w:r>
      <w:r>
        <w:t>: Open Access, voraussichtlich Plattformwissenschaftliche Zeitschriftenreihe; deskriptive Statistiken + qualitative Auszüge</w:t>
      </w:r>
    </w:p>
    <w:p>
      <w:pPr>
        <w:pStyle w:val="Heading2"/>
      </w:pPr>
      <w:r>
        <w:rPr>
          <w:rFonts w:ascii="Times New Roman" w:hAnsi="Times New Roman"/>
        </w:rPr>
        <w:t>3. Voraussetzungen nach Art. 40 Abs. 8 DSA</w:t>
      </w:r>
    </w:p>
    <w:p>
      <w:pPr>
        <w:jc w:val="left"/>
      </w:pPr>
      <w:r>
        <w:t xml:space="preserve">a) </w:t>
      </w:r>
      <w:r>
        <w:rPr>
          <w:b/>
        </w:rPr>
        <w:t>Forschungseinrichtung:</w:t>
      </w:r>
      <w:r>
        <w:t xml:space="preserve"> Universität Erlangen-Nürnberg, gemeinnützige Körperschaft des öffentlichen Rechts</w:t>
      </w:r>
    </w:p>
    <w:p>
      <w:pPr>
        <w:jc w:val="left"/>
      </w:pPr>
      <w:r>
        <w:t xml:space="preserve">b) </w:t>
      </w:r>
      <w:r>
        <w:rPr>
          <w:b/>
        </w:rPr>
        <w:t>Unabhängigkeit von kommerziellen Interessen:</w:t>
      </w:r>
      <w:r>
        <w:t xml:space="preserve"> Eigenerklärung anbei (Anlage A1)</w:t>
      </w:r>
    </w:p>
    <w:p>
      <w:pPr>
        <w:jc w:val="left"/>
      </w:pPr>
      <w:r>
        <w:t xml:space="preserve">c) </w:t>
      </w:r>
      <w:r>
        <w:rPr>
          <w:b/>
        </w:rPr>
        <w:t>Finanzierungsoffenlegung:</w:t>
      </w:r>
      <w:r>
        <w:t xml:space="preserve"> DFG-Projekt 514428-VFP "Plattform-Asymmetrien im Mittelstand" (BMBF-Anteil 0; Drittmittelvertrag mit gemeinnütziger Stiftung "Bürgerbewegung Digitale Mündigkeit e. V." in Höhe von 86 000 EUR, Vertragsbeginn 01.01.2026 — Stiftung hat keinen kommerziellen Konflikt mit Plattformen)</w:t>
      </w:r>
    </w:p>
    <w:p>
      <w:pPr>
        <w:jc w:val="left"/>
      </w:pPr>
      <w:r>
        <w:t xml:space="preserve">d) </w:t>
      </w:r>
      <w:r>
        <w:rPr>
          <w:b/>
        </w:rPr>
        <w:t>Datenschutzkompetenz:</w:t>
      </w:r>
      <w:r>
        <w:t xml:space="preserve"> Behördlicher DSB der FAU eingebunden; DSFA durchgeführt (Anlage A2)</w:t>
      </w:r>
    </w:p>
    <w:p>
      <w:pPr>
        <w:jc w:val="left"/>
      </w:pPr>
      <w:r>
        <w:t xml:space="preserve">e) </w:t>
      </w:r>
      <w:r>
        <w:rPr>
          <w:b/>
        </w:rPr>
        <w:t>Notwendigkeit und Verhältnismäßigkeit:</w:t>
      </w:r>
      <w:r>
        <w:t xml:space="preserve"> detaillierte Methodendokumentation (Anlage A3)</w:t>
      </w:r>
    </w:p>
    <w:p>
      <w:pPr>
        <w:jc w:val="left"/>
      </w:pPr>
      <w:r>
        <w:t xml:space="preserve">f) </w:t>
      </w:r>
      <w:r>
        <w:rPr>
          <w:b/>
        </w:rPr>
        <w:t>Veröffentlichungspflicht:</w:t>
      </w:r>
      <w:r>
        <w:t xml:space="preserve"> verpflichtende Open-Access-Publikation; Vorab-Anhörung Glitzerwald-Datenschutz zu konkreten Veröffentlichungs-Sicherungen</w:t>
      </w:r>
    </w:p>
    <w:p>
      <w:pPr>
        <w:pStyle w:val="Heading2"/>
      </w:pPr>
      <w:r>
        <w:rPr>
          <w:rFonts w:ascii="Times New Roman" w:hAnsi="Times New Roman"/>
        </w:rPr>
        <w:t>4. Anlagen</w:t>
      </w:r>
    </w:p>
    <w:p>
      <w:pPr>
        <w:pStyle w:val="ListBullet"/>
      </w:pPr>
      <w:r>
        <w:t>A1 Unabhängigkeitserklärung</w:t>
      </w:r>
    </w:p>
    <w:p>
      <w:pPr>
        <w:pStyle w:val="ListBullet"/>
      </w:pPr>
      <w:r>
        <w:t>A2 DSFA-Bericht (47 Seiten)</w:t>
      </w:r>
    </w:p>
    <w:p>
      <w:pPr>
        <w:pStyle w:val="ListBullet"/>
      </w:pPr>
      <w:r>
        <w:t>A3 Methodendokument</w:t>
      </w:r>
    </w:p>
    <w:p>
      <w:pPr>
        <w:pStyle w:val="ListBullet"/>
      </w:pPr>
      <w:r>
        <w:t>A4 Liste der 64 vorgesehenen Studien-Konten (pseudonymisiert)</w:t>
      </w:r>
    </w:p>
    <w:p>
      <w:pPr>
        <w:pStyle w:val="ListBullet"/>
      </w:pPr>
      <w:r>
        <w:t>A5 Datenschutzvertrag FAU-CompCenter</w:t>
      </w:r>
    </w:p>
    <w:p>
      <w:pPr>
        <w:pStyle w:val="ListBullet"/>
      </w:pPr>
      <w:r>
        <w:t>A6 Co-Researcher-Liste: Prof. Dr. Heriberta Walpot-Stoffenhagen (FAU), Dr. Lothar Fingerlein (HU Berlin), Cand. Doc. Sigewulf Brommerstadt (FAU)</w:t>
      </w:r>
    </w:p>
    <w:p>
      <w:pPr>
        <w:pStyle w:val="Heading2"/>
      </w:pPr>
      <w:r>
        <w:rPr>
          <w:rFonts w:ascii="Times New Roman" w:hAnsi="Times New Roman"/>
        </w:rPr>
        <w:t>5. Antrag</w:t>
      </w:r>
    </w:p>
    <w:p>
      <w:pPr>
        <w:jc w:val="left"/>
      </w:pPr>
      <w:r>
        <w:t>Die Antragstellerin beantragt, ihr nach Art. 40 Abs. 4 ff. DSA Zugang zu den oben genannten Daten zu gewähren und Glitzerwald Networks Ireland Ltd. aufzugeben, die Daten binnen 60 Tagen in der vereinbarten technischen Form bereitzustellen.</w:t>
      </w:r>
    </w:p>
    <w:p>
      <w:pPr>
        <w:jc w:val="left"/>
      </w:pPr>
      <w:r>
        <w:t>Erlangen, 21.04.2026</w:t>
      </w:r>
    </w:p>
    <w:p>
      <w:pPr>
        <w:jc w:val="left"/>
      </w:pPr>
      <w:r>
        <w:t>Dr. Adelgunde Vogelbroich</w:t>
      </w:r>
    </w:p>
    <w:p/>
    <w:p>
      <w:pPr>
        <w:jc w:val="left"/>
      </w:pPr>
      <w:r>
        <w:rPr>
          <w:b/>
        </w:rPr>
        <w:t>Vermerk Kanzlei Hagenroth (Kopie zur Akte 2026/0418):</w:t>
      </w:r>
    </w:p>
    <w:p>
      <w:pPr>
        <w:pStyle w:val="ListBullet"/>
      </w:pPr>
      <w:r>
        <w:t>Mandantin Meißnerlein wurde mit ihrer Einwilligung als eine der Studien-Personen (Anlage A4 pseudonymisiert) aufgenommen</w:t>
      </w:r>
    </w:p>
    <w:p>
      <w:pPr>
        <w:pStyle w:val="ListBullet"/>
      </w:pPr>
      <w:r>
        <w:t>Strategische Verzahnung: Forschungsergebnisse können später als wissenschaftliches Indiz im Eilverfahren und im DSC-Verfahren verwendet werden, sind dort jedoch nicht beweisentscheidend</w:t>
      </w:r>
    </w:p>
    <w:p>
      <w:pPr>
        <w:pStyle w:val="ListBullet"/>
      </w:pPr>
      <w:r>
        <w:t>Risiko für Mandantin: Re-Identifikation durch Glitzerwald während Datentreuhand-Phase</w:t>
      </w:r>
    </w:p>
    <w:p>
      <w:pPr>
        <w:pStyle w:val="ListBullet"/>
      </w:pPr>
      <w:r>
        <w:t>Status 18.05.2026: DSC Irland prüft Vollständigkeit. Mit Entscheidung August 2026 zu rechnen.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