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Anwaltsstrategie und Risikobewertung — intern</w:t>
      </w:r>
    </w:p>
    <w:p>
      <w:pPr>
        <w:jc w:val="left"/>
      </w:pPr>
      <w:r>
        <w:rPr>
          <w:b/>
        </w:rPr>
        <w:t>Datum:</w:t>
      </w:r>
      <w:r>
        <w:t xml:space="preserve"> 20.05.2026</w:t>
      </w:r>
    </w:p>
    <w:p>
      <w:pPr>
        <w:jc w:val="left"/>
      </w:pPr>
      <w:r>
        <w:rPr>
          <w:b/>
        </w:rPr>
        <w:t>Verfasser:</w:t>
      </w:r>
      <w:r>
        <w:t xml:space="preserve"> Dr. Hagenroth + Quasthoff-Prügelmann</w:t>
      </w:r>
    </w:p>
    <w:p>
      <w:pPr>
        <w:jc w:val="left"/>
      </w:pPr>
      <w:r>
        <w:rPr>
          <w:b/>
        </w:rPr>
        <w:t>Vertraulichkeit:</w:t>
      </w:r>
      <w:r>
        <w:t xml:space="preserve"> intern, anwaltliches Berufsgeheimnis</w:t>
      </w:r>
    </w:p>
    <w:p>
      <w:pPr>
        <w:pStyle w:val="Heading2"/>
      </w:pPr>
      <w:r>
        <w:rPr>
          <w:rFonts w:ascii="Times New Roman" w:hAnsi="Times New Roman"/>
        </w:rPr>
        <w:t>A. Zielhierarchie</w:t>
      </w:r>
    </w:p>
    <w:p>
      <w:pPr>
        <w:pStyle w:val="ListNumber"/>
      </w:pPr>
      <w:r>
        <w:rPr>
          <w:b/>
        </w:rPr>
        <w:t>Account-Wiederherstellung in 4 bis 6 Wochen</w:t>
      </w:r>
      <w:r>
        <w:t xml:space="preserve"> (Eilantrag)</w:t>
      </w:r>
    </w:p>
    <w:p>
      <w:pPr>
        <w:pStyle w:val="ListNumber"/>
      </w:pPr>
      <w:r>
        <w:rPr>
          <w:b/>
        </w:rPr>
        <w:t>Vermögensschaden ersetzt</w:t>
      </w:r>
      <w:r>
        <w:t xml:space="preserve"> (Hauptsache, Verhandlungslösung)</w:t>
      </w:r>
    </w:p>
    <w:p>
      <w:pPr>
        <w:pStyle w:val="ListNumber"/>
      </w:pPr>
      <w:r>
        <w:rPr>
          <w:b/>
        </w:rPr>
        <w:t>Strukturelle Korrektur</w:t>
      </w:r>
      <w:r>
        <w:t xml:space="preserve"> (DSC-Verfahren, ggf. BKartA)</w:t>
      </w:r>
    </w:p>
    <w:p>
      <w:pPr>
        <w:pStyle w:val="ListNumber"/>
      </w:pPr>
      <w:r>
        <w:rPr>
          <w:b/>
        </w:rPr>
        <w:t>Mandantin-Resilienz</w:t>
      </w:r>
      <w:r>
        <w:t xml:space="preserve"> durch Aufbau eigener Reichweite jenseits Glitzerwald (parallele Marketingberatung von extern)</w:t>
      </w:r>
    </w:p>
    <w:p>
      <w:pPr>
        <w:pStyle w:val="Heading2"/>
      </w:pPr>
      <w:r>
        <w:rPr>
          <w:rFonts w:ascii="Times New Roman" w:hAnsi="Times New Roman"/>
        </w:rPr>
        <w:t>B. Drei-Spuren-Strategie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Hebel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Trägerin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Zeithorizont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Zivilrechtlich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Eilantrag + Hauptsache LG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Zustellung; Verhältnismäßigkeit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 Wochen / 6 Monate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Aufsichtsrechtlich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DSC-Beschwerde BNetzA → IE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Verfahrensdauer; kein Schadensersatz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6-12 Monate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Datenschutzrechtlich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Art. 77 DSGVO IE-DPC + BayLDA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Lead-Aufsicht-Problematik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6-18 Monate</w:t>
            </w:r>
          </w:p>
        </w:tc>
      </w:tr>
    </w:tbl>
    <w:p>
      <w:pPr>
        <w:jc w:val="left"/>
      </w:pPr>
      <w:r>
        <w:t>Spuren laufen parallel — Synergien:</w:t>
      </w:r>
    </w:p>
    <w:p>
      <w:pPr>
        <w:pStyle w:val="ListBullet"/>
      </w:pPr>
      <w:r>
        <w:t>Eilantrag-Erfolg setzt Plattform unter Druck zur Auskunft im DSC-Verfahren</w:t>
      </w:r>
    </w:p>
    <w:p>
      <w:pPr>
        <w:pStyle w:val="ListBullet"/>
      </w:pPr>
      <w:r>
        <w:t>DSGVO-Auskunft liefert Material für UWG-/DSA-Anker</w:t>
      </w:r>
    </w:p>
    <w:p>
      <w:pPr>
        <w:pStyle w:val="ListBullet"/>
      </w:pPr>
      <w:r>
        <w:t>DSC-Verfahren ergibt Aufsichts-Druck, der Vergleich erleichtern kann</w:t>
      </w:r>
    </w:p>
    <w:p>
      <w:pPr>
        <w:pStyle w:val="Heading2"/>
      </w:pPr>
      <w:r>
        <w:rPr>
          <w:rFonts w:ascii="Times New Roman" w:hAnsi="Times New Roman"/>
        </w:rPr>
        <w:t>C. Risiko-Matrix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Schwere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Eilantrag-Abweisung wegen fehlender Verfügungsgrund-Anerkennung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quantitativer Umsatzbeleg AS 5; Eidesversicherung GF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Zustellung scheitert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parallel an EU-Tochter + USA; § 184 ZPO-Antrag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Vorlageanordnung Algorithmus § 142 ZPO abgelehnt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DSGVO-Auskunfts-Erweiterung; DSC-Druck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Re-Identifikation Mandantin in Forschungsstudie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Datentreuhand-Vereinbarung; Hinweis Vogelbroich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Mandantin tritt mit Medien an Öffentlichkeit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 bis 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Medien-Briefing-Leitfaden, anwaltliche Begleitung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Lindheim klagt selbst gegen Mandantin (Ehrenschutz)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Mandantin meidet namentliche Erwähnung Lindheim öffentlich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Aufsichtsverfahren mündet in Vergleich Glitzerwald ↔ Behörde, ohne Mandantin-Beteiligung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Beteiligten-Status nach Art. 53 Abs. 2 DSA aktiv beanspruchen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Glitzerwald greift mediale Berichterstattung als "Reputation Attack" auf und sperrt zusätzlich verbundene Accounts (z. B. Nichte)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Vorsorgliche Sicherung Nicht-Plattform-Reichweite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D. Verhandlungsoptionen</w:t>
      </w:r>
    </w:p>
    <w:p>
      <w:pPr>
        <w:jc w:val="left"/>
      </w:pPr>
      <w:r>
        <w:t>Plattformseite akzeptiert ohne öffentliches Eingeständnis möglicherweise:</w:t>
      </w:r>
    </w:p>
    <w:p>
      <w:pPr>
        <w:pStyle w:val="ListBullet"/>
      </w:pPr>
      <w:r>
        <w:t>Account-Wiederherstellung mit "guidance period" (= 3 Monate verschärfte Sichtbarkeit)</w:t>
      </w:r>
    </w:p>
    <w:p>
      <w:pPr>
        <w:pStyle w:val="ListBullet"/>
      </w:pPr>
      <w:r>
        <w:t>Pauschalvergleich 60 000 EUR ohne Anerkenntnis</w:t>
      </w:r>
    </w:p>
    <w:p>
      <w:pPr>
        <w:pStyle w:val="ListBullet"/>
      </w:pPr>
      <w:r>
        <w:t>Verbesserte Begründung künftiger Sperren als prozedurale Zusicherung</w:t>
      </w:r>
    </w:p>
    <w:p>
      <w:pPr>
        <w:jc w:val="left"/>
      </w:pPr>
      <w:r>
        <w:t>Mandantin will:</w:t>
      </w:r>
    </w:p>
    <w:p>
      <w:pPr>
        <w:pStyle w:val="ListBullet"/>
      </w:pPr>
      <w:r>
        <w:t>Vollständige Wiederherstellung</w:t>
      </w:r>
    </w:p>
    <w:p>
      <w:pPr>
        <w:pStyle w:val="ListBullet"/>
      </w:pPr>
      <w:r>
        <w:t>95 000 EUR Schadensersatz</w:t>
      </w:r>
    </w:p>
    <w:p>
      <w:pPr>
        <w:pStyle w:val="ListBullet"/>
      </w:pPr>
      <w:r>
        <w:t>Öffentliche Klärung</w:t>
      </w:r>
    </w:p>
    <w:p>
      <w:pPr>
        <w:pStyle w:val="ListBullet"/>
      </w:pPr>
      <w:r>
        <w:t>Aufnahme in GlitzerwaldShops-Programm</w:t>
      </w:r>
    </w:p>
    <w:p>
      <w:pPr>
        <w:jc w:val="left"/>
      </w:pPr>
      <w:r>
        <w:t xml:space="preserve">Realistische Einigung: </w:t>
      </w:r>
      <w:r>
        <w:rPr>
          <w:b/>
        </w:rPr>
        <w:t>65–80 KEUR + sofortige Wiederherstellung + Aufnahme GlitzerwaldShops, ohne Anerkenntnis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E. Konsequenzen für VLOP-Designations-Strategie</w:t>
      </w:r>
    </w:p>
    <w:p>
      <w:pPr>
        <w:pStyle w:val="ListBullet"/>
      </w:pPr>
      <w:r>
        <w:t>Plattform ist 2026 voraussichtlich VLOP — Designation steht aus</w:t>
      </w:r>
    </w:p>
    <w:p>
      <w:pPr>
        <w:pStyle w:val="ListBullet"/>
      </w:pPr>
      <w:r>
        <w:t>Sobald designiert: Kommission ist allein zuständig für VLOP-Verpflichtungen (Art. 56 Abs. 2 DSA); nationale DSCs können weiterhin für Pflichten außerhalb des VLOP-Sonderregimes zuständig sein</w:t>
      </w:r>
    </w:p>
    <w:p>
      <w:pPr>
        <w:pStyle w:val="ListBullet"/>
      </w:pPr>
      <w:r>
        <w:t>Mandantin könnte als Dritte im EuG-Verfahren als Streithelferin der Kommission auftreten, falls Glitzerwald gegen Designation klagt — Schwellenwert für Streithilfe nach Art. 40 EuG-Satzung: berechtigtes Interesse, geringe Hürde</w:t>
      </w:r>
    </w:p>
    <w:p>
      <w:pPr>
        <w:pStyle w:val="Heading2"/>
      </w:pPr>
      <w:r>
        <w:rPr>
          <w:rFonts w:ascii="Times New Roman" w:hAnsi="Times New Roman"/>
        </w:rPr>
        <w:t>F. Mandantenkommunikation</w:t>
      </w:r>
    </w:p>
    <w:p>
      <w:pPr>
        <w:jc w:val="left"/>
      </w:pPr>
      <w:r>
        <w:t>Frau Meißnerlein-Hochkönig will alle 7 Tage Statusbericht. Tag: Dienstag. Übermittlung: PGP-verschlüsselte E-Mail an walpurga@baustube-meissnerlein.de und parallel ausgedruckt per Post (Mandantin bevorzugt Papierakten).</w:t>
      </w:r>
    </w:p>
    <w:p>
      <w:pPr>
        <w:pStyle w:val="Heading2"/>
      </w:pPr>
      <w:r>
        <w:rPr>
          <w:rFonts w:ascii="Times New Roman" w:hAnsi="Times New Roman"/>
        </w:rPr>
        <w:t>G. Nächste Schritte (Stand 20.05.2026)</w:t>
      </w:r>
    </w:p>
    <w:p>
      <w:pPr>
        <w:pStyle w:val="ListBullet"/>
      </w:pPr>
      <w:r>
        <w:t>22.05.2026 Eilantrag final (Hagenroth)</w:t>
      </w:r>
    </w:p>
    <w:p>
      <w:pPr>
        <w:pStyle w:val="ListBullet"/>
      </w:pPr>
      <w:r>
        <w:t>25.05.2026 DSC-Beschwerde abgeschickt (Quasthoff-Prügelmann)</w:t>
      </w:r>
    </w:p>
    <w:p>
      <w:pPr>
        <w:pStyle w:val="ListBullet"/>
      </w:pPr>
      <w:r>
        <w:t>26.05.2026 BayLDA-Beschwerde nachrichtlich (Pfistermeier)</w:t>
      </w:r>
    </w:p>
    <w:p>
      <w:pPr>
        <w:pStyle w:val="ListBullet"/>
      </w:pPr>
      <w:r>
        <w:t>03.06.2026 BKartA-Beschwerdeentwurf § 19a GWB (Pfistermeier)</w:t>
      </w:r>
    </w:p>
    <w:p>
      <w:pPr>
        <w:pStyle w:val="ListBullet"/>
      </w:pPr>
      <w:r>
        <w:t>10.06.2026 erste mediale Begleitung mit Mittelfränkischer Zeitung (nur Hintergrund, kein Zitat)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