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Anlagenverzeichnis — Schriftsatzfertige Aufstellung</w:t>
      </w:r>
    </w:p>
    <w:p>
      <w:pPr>
        <w:jc w:val="left"/>
      </w:pPr>
      <w:r>
        <w:t>Stand: 26.05.2026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Eidesstattliche Versicherung Walpurga Meißnerlein-Hochkönig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 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Glitzerwald-Sperrmitteilung "Action Required"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 3a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Eingabe interne Beschwerde Art. 20 DSA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 3b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Beschwerde-Antwort Glitzerwald Trust &amp; Safety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09.04.2026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 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DSGVO-Auskunft Glitzerwald Networks Ireland Ltd.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 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Umsatztabelle 14 Monate (testiert StB Bödecke-Kratzert, Bamberg)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 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Anlagenkonvolut Screenshots (sub-Anlagen 6.01 bis 6.32)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div.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 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Vollmacht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 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E-Mail-Wechsel mit EU-Vertreter Dublin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08.-25.05.2026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 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DSC-Beschwerde an BNetzA (Entwurf, zur Kenntnis)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 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Marktanalyse Lindheim &amp; Söhne KG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06.05.2026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 11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Forschungsantrag Dr. Vogelbroich Art. 40 DSA (Auszug)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 12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Kostenkalkulation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 13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DSA Transparency Database Eintrag zur Sperre (Suchergebnis nicht auffindbar — Indiz für Verstoß Art. 24 Abs. 5 DSA)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 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Auszug Glitzerwald-Werbearchiv "GlitzerwaldShops Echtes Franken"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22.05.2026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Sub-Anlagenkonvolute</w:t>
      </w:r>
    </w:p>
    <w:p>
      <w:pPr>
        <w:pStyle w:val="Heading3"/>
      </w:pPr>
      <w:r>
        <w:rPr>
          <w:rFonts w:ascii="Times New Roman" w:hAnsi="Times New Roman"/>
        </w:rPr>
        <w:t>AS 6 — Screenshots</w:t>
      </w:r>
    </w:p>
    <w:p>
      <w:pPr>
        <w:pStyle w:val="ListBullet"/>
      </w:pPr>
      <w:r>
        <w:t>6.01 bis 6.12 — Profil vor Sperre (Studio-Sicht, Public-Sicht, Mobile, Desktop, jeweils mit Zeitstempel und SHA-256)</w:t>
      </w:r>
    </w:p>
    <w:p>
      <w:pPr>
        <w:pStyle w:val="ListBullet"/>
      </w:pPr>
      <w:r>
        <w:t>6.13 bis 6.20 — Sperrmitteilung in Inbox + E-Mail</w:t>
      </w:r>
    </w:p>
    <w:p>
      <w:pPr>
        <w:pStyle w:val="ListBullet"/>
      </w:pPr>
      <w:r>
        <w:t>6.21 bis 6.27 — Profil nach Sperre, leerer öffentlicher Zustand</w:t>
      </w:r>
    </w:p>
    <w:p>
      <w:pPr>
        <w:pStyle w:val="ListBullet"/>
      </w:pPr>
      <w:r>
        <w:t>6.28 bis 6.32 — Wayback-Snapshots</w:t>
      </w:r>
    </w:p>
    <w:p>
      <w:pPr>
        <w:pStyle w:val="Heading3"/>
      </w:pPr>
      <w:r>
        <w:rPr>
          <w:rFonts w:ascii="Times New Roman" w:hAnsi="Times New Roman"/>
        </w:rPr>
        <w:t>AS 14 — Werbearchiv-Auszug</w:t>
      </w:r>
    </w:p>
    <w:p>
      <w:pPr>
        <w:jc w:val="left"/>
      </w:pPr>
      <w:r>
        <w:t>Strukturiert nach Glitzerwald Ad Library API; enthält Daten zur Werbekampagne von Lindheim &amp; Söhne, soweit öffentlich.</w:t>
      </w:r>
    </w:p>
    <w:p>
      <w:pPr>
        <w:pStyle w:val="Heading2"/>
      </w:pPr>
      <w:r>
        <w:rPr>
          <w:rFonts w:ascii="Times New Roman" w:hAnsi="Times New Roman"/>
        </w:rPr>
        <w:t>Sprache</w:t>
      </w:r>
    </w:p>
    <w:p>
      <w:pPr>
        <w:jc w:val="left"/>
      </w:pPr>
      <w:r>
        <w:t>Vorlagen in Originalsprache (deutsch und englisch). Für AS 2 und AS 3b liegt jeweils eine beglaubigte Übersetzung durch Frau Dipl.-Übers. Wendelgard Spitzkopf, allgemein beeidigte Übersetzerin Englisch-Deutsch am LG Nürnberg-Fürth, vor.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