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Pressespiegel und Branchenmitteilungen — chronologisch</w:t>
      </w:r>
    </w:p>
    <w:p>
      <w:pPr>
        <w:ind w:left="567"/>
      </w:pPr>
      <w:r>
        <w:rPr>
          <w:i/>
        </w:rPr>
        <w:t>Sammlung externer Meldungen zur Plattformregulierung mit Bezug zur Akte. Nicht zur direkten Verwendung im Schriftsatz; intern für Mandantenkommunikation und strategische Einordnung.</w:t>
      </w:r>
    </w:p>
    <w:p>
      <w:pPr>
        <w:pStyle w:val="Heading2"/>
      </w:pPr>
      <w:r>
        <w:rPr>
          <w:rFonts w:ascii="Times New Roman" w:hAnsi="Times New Roman"/>
        </w:rPr>
        <w:t>09.02.2026 — Mittelfränkische Zeitung</w:t>
      </w:r>
    </w:p>
    <w:p>
      <w:pPr>
        <w:jc w:val="left"/>
      </w:pPr>
      <w:r>
        <w:rPr>
          <w:b/>
        </w:rPr>
        <w:t>"Frauenunternehmerinnen klagen über willkürliche Sperren bei US-Plattformen"</w:t>
      </w:r>
      <w:r>
        <w:t xml:space="preserve"> — Hintergrundbericht, in dem zwei Betroffene namentlich genannt sind; Frau Meißnerlein wird darin als anonyme Quelle zitiert ("Eine Antikrestauratorin aus dem Aischgrund...").</w:t>
      </w:r>
    </w:p>
    <w:p>
      <w:pPr>
        <w:pStyle w:val="Heading2"/>
      </w:pPr>
      <w:r>
        <w:rPr>
          <w:rFonts w:ascii="Times New Roman" w:hAnsi="Times New Roman"/>
        </w:rPr>
        <w:t>22.02.2026 — Heise online</w:t>
      </w:r>
    </w:p>
    <w:p>
      <w:pPr>
        <w:jc w:val="left"/>
      </w:pPr>
      <w:r>
        <w:rPr>
          <w:b/>
        </w:rPr>
        <w:t>"Glitzerwald-Werbearchiv weist Lücken auf — Forscher zweifeln an DSA-Konformität"</w:t>
      </w:r>
      <w:r>
        <w:t xml:space="preserve"> — verweist auf eine Studie der TU Dresden, die in 14 Stichproben unvollständige Werbe-Records nachgewiesen hat.</w:t>
      </w:r>
    </w:p>
    <w:p>
      <w:pPr>
        <w:pStyle w:val="Heading2"/>
      </w:pPr>
      <w:r>
        <w:rPr>
          <w:rFonts w:ascii="Times New Roman" w:hAnsi="Times New Roman"/>
        </w:rPr>
        <w:t>14.03.2026 — interner Vermerk</w:t>
      </w:r>
    </w:p>
    <w:p>
      <w:pPr>
        <w:jc w:val="left"/>
      </w:pPr>
      <w:r>
        <w:t>Frau Meißnerlein hat über das Branchennetzwerk "Restauratorinnen-Stammtisch Mittelfranken" (rund 80 Mitglieder, geschlossener Kreis) berichtet, dass ihr Account gesperrt wurde. Vier weitere Mitglieder schilderten ähnliche Erfahrungen in den letzten 12 Monaten. Frau Meißnerlein leitete vier Kontakte an die Kanzlei weiter — Sammelmandat noch nicht entschieden.</w:t>
      </w:r>
    </w:p>
    <w:p>
      <w:pPr>
        <w:pStyle w:val="Heading2"/>
      </w:pPr>
      <w:r>
        <w:rPr>
          <w:rFonts w:ascii="Times New Roman" w:hAnsi="Times New Roman"/>
        </w:rPr>
        <w:t>27.03.2026 — Süddeutsche Zeitung</w:t>
      </w:r>
    </w:p>
    <w:p>
      <w:pPr>
        <w:jc w:val="left"/>
      </w:pPr>
      <w:r>
        <w:rPr>
          <w:b/>
        </w:rPr>
        <w:t>"Bundesnetzagentur prüft Glitzerwald-Werbepraktiken"</w:t>
      </w:r>
      <w:r>
        <w:t xml:space="preserve"> — Recherche, dass BNetzA seit Februar 2026 ein Vorermittlungsverfahren wegen wiederholter Beschwerden geführt hat.</w:t>
      </w:r>
    </w:p>
    <w:p>
      <w:pPr>
        <w:pStyle w:val="Heading2"/>
      </w:pPr>
      <w:r>
        <w:rPr>
          <w:rFonts w:ascii="Times New Roman" w:hAnsi="Times New Roman"/>
        </w:rPr>
        <w:t>11.04.2026 — netzpolitik.org</w:t>
      </w:r>
    </w:p>
    <w:p>
      <w:pPr>
        <w:jc w:val="left"/>
      </w:pPr>
      <w:r>
        <w:rPr>
          <w:b/>
        </w:rPr>
        <w:t>"VLOP-Designation für Glitzerwald aufgeschoben — Streit um Nutzerzahlen"</w:t>
      </w:r>
      <w:r>
        <w:t xml:space="preserve"> — Bericht über zwei Wechsel der Methodik bei der Nutzerzählung; Glitzerwald widerspricht dem Schwellenwert.</w:t>
      </w:r>
    </w:p>
    <w:p>
      <w:pPr>
        <w:pStyle w:val="Heading2"/>
      </w:pPr>
      <w:r>
        <w:rPr>
          <w:rFonts w:ascii="Times New Roman" w:hAnsi="Times New Roman"/>
        </w:rPr>
        <w:t>03.05.2026 — Frankfurter Allgemeine Zeitung</w:t>
      </w:r>
    </w:p>
    <w:p>
      <w:pPr>
        <w:jc w:val="left"/>
      </w:pPr>
      <w:r>
        <w:rPr>
          <w:b/>
        </w:rPr>
        <w:t>"Plattform-Recht: Erlanger Studie soll Diskriminierung im Empfehlungssystem messen"</w:t>
      </w:r>
      <w:r>
        <w:t xml:space="preserve"> — Bericht über Dr. Vogelbroichs Studienvorhaben; Glitzerwald-Sprecher äußert "Bedenken zur methodischen Verallgemeinerbarkeit".</w:t>
      </w:r>
    </w:p>
    <w:p>
      <w:pPr>
        <w:pStyle w:val="Heading2"/>
      </w:pPr>
      <w:r>
        <w:rPr>
          <w:rFonts w:ascii="Times New Roman" w:hAnsi="Times New Roman"/>
        </w:rPr>
        <w:t>14.05.2026 — Bundesgerichtshof Pressestelle</w:t>
      </w:r>
    </w:p>
    <w:p>
      <w:pPr>
        <w:jc w:val="left"/>
      </w:pPr>
      <w:r>
        <w:t>Mitteilung über anhängiges Verfahren zur Frage, ob automatisierte Account-Sperren von US-Plattformen ohne Anhörung gegen § 307 BGB und Art. 5 GG verstoßen — Az. nicht öffentlich; Termin Herbst 2026 erwartet.</w:t>
      </w:r>
    </w:p>
    <w:p>
      <w:pPr>
        <w:pStyle w:val="Heading2"/>
      </w:pPr>
      <w:r>
        <w:rPr>
          <w:rFonts w:ascii="Times New Roman" w:hAnsi="Times New Roman"/>
        </w:rPr>
        <w:t>22.05.2026 — Verband fränkischer Handwerksbetriebe</w:t>
      </w:r>
    </w:p>
    <w:p>
      <w:pPr>
        <w:jc w:val="left"/>
      </w:pPr>
      <w:r>
        <w:t>Newsletter: "Acht Mitgliedsbetriebe melden Sperren auf Glitzerwald — Verband prüft Sammelklage" — Frau Meißnerlein wurde angefragt, ob sie sich als Mitklägerin beteiligen möchte. Entscheidung offen; Kanzlei rät zunächst eigenständiges Verfahren wegen besserer Verfahrenskontrolle.</w:t>
      </w:r>
    </w:p>
    <w:p>
      <w:pPr>
        <w:pStyle w:val="Heading2"/>
      </w:pPr>
      <w:r>
        <w:rPr>
          <w:rFonts w:ascii="Times New Roman" w:hAnsi="Times New Roman"/>
        </w:rPr>
        <w:t>Bewertung</w:t>
      </w:r>
    </w:p>
    <w:p>
      <w:pPr>
        <w:pStyle w:val="ListBullet"/>
      </w:pPr>
      <w:r>
        <w:rPr>
          <w:b/>
        </w:rPr>
        <w:t>Medienlandschaft begünstigt Beschwerdeführer-Position</w:t>
      </w:r>
      <w:r>
        <w:t xml:space="preserve"> — politischer Druck auf Glitzerwald wächst</w:t>
      </w:r>
    </w:p>
    <w:p>
      <w:pPr>
        <w:pStyle w:val="ListBullet"/>
      </w:pPr>
      <w:r>
        <w:rPr>
          <w:b/>
        </w:rPr>
        <w:t>Risiko Mediennutzung</w:t>
      </w:r>
      <w:r>
        <w:t>: Mandantin sollte vorerst nicht namentlich auftreten — Schutzposition im Eilverfahren stärker</w:t>
      </w:r>
    </w:p>
    <w:p>
      <w:pPr>
        <w:pStyle w:val="ListBullet"/>
      </w:pPr>
      <w:r>
        <w:rPr>
          <w:b/>
        </w:rPr>
        <w:t>Sammelmandat / Verbandsbeitritt</w:t>
      </w:r>
      <w:r>
        <w:t>: noch verfrüht; Erfolg im Einzelverfahren stärkt Position für Sammelmandat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