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03 — VLOP-Designation nach Art. 33 DSA: Rechtliche Würdigung</w:t>
      </w:r>
    </w:p>
    <w:p>
      <w:pPr>
        <w:jc w:val="left"/>
      </w:pPr>
      <w:r>
        <w:rPr>
          <w:b/>
        </w:rPr>
        <w:t>Az. Kanzlei:</w:t>
      </w:r>
      <w:r>
        <w:t xml:space="preserve"> KRS-2026-0318-DSA</w:t>
      </w:r>
    </w:p>
    <w:p>
      <w:pPr>
        <w:jc w:val="left"/>
      </w:pPr>
      <w:r>
        <w:rPr>
          <w:b/>
        </w:rPr>
        <w:t>Bearbeiterin:</w:t>
      </w:r>
      <w:r>
        <w:t xml:space="preserve"> RAin Dr. Philippa Groth-Steinberg</w:t>
      </w:r>
    </w:p>
    <w:p>
      <w:pPr>
        <w:jc w:val="left"/>
      </w:pPr>
      <w:r>
        <w:rPr>
          <w:b/>
        </w:rPr>
        <w:t>Stand:</w:t>
      </w:r>
      <w:r>
        <w:t xml:space="preserve"> 22. März 2026</w:t>
      </w:r>
    </w:p>
    <w:p/>
    <w:p>
      <w:pPr>
        <w:pStyle w:val="Heading2"/>
      </w:pPr>
      <w:r>
        <w:rPr>
          <w:rFonts w:ascii="Times New Roman" w:hAnsi="Times New Roman"/>
        </w:rPr>
        <w:t>1. Tatbestand der VLOP-Designation</w:t>
      </w:r>
    </w:p>
    <w:p>
      <w:pPr>
        <w:jc w:val="left"/>
      </w:pPr>
      <w:r>
        <w:t>Art. 33 Abs. 1 der Verordnung (EU) 2022/2065 (Digital Services Act, DSA) knüpft die Designation als Very Large Online Platform an das Überschreiten der Schwelle von durchschnittlich 45 Millionen monatlichen aktiven Nutzern in der Europäischen Union. Diese Nutzeranzahl entspricht etwa 10 % der Gesamtbevölkerung der EU.</w:t>
      </w:r>
    </w:p>
    <w:p>
      <w:pPr>
        <w:jc w:val="left"/>
      </w:pPr>
      <w:r>
        <w:t>Die Europäische Kommission hat Halmweise.de auf Grundlage der von der Körnerstrom Social GmbH gemäß Art. 24 Abs. 2 DSA übermittelten Nutzerzahlen (Dezember 2025: 51 Mio. aktive EU-Nutzer) mit Bescheid vom 14. März 2026 (Az. CASE COMP M.92188) als VLOP designiert.</w:t>
      </w:r>
    </w:p>
    <w:p/>
    <w:p>
      <w:pPr>
        <w:pStyle w:val="Heading2"/>
      </w:pPr>
      <w:r>
        <w:rPr>
          <w:rFonts w:ascii="Times New Roman" w:hAnsi="Times New Roman"/>
        </w:rPr>
        <w:t>2. Verfahrensablauf der Designation</w:t>
      </w:r>
    </w:p>
    <w:p>
      <w:pPr>
        <w:pStyle w:val="Heading3"/>
      </w:pPr>
      <w:r>
        <w:rPr>
          <w:rFonts w:ascii="Times New Roman" w:hAnsi="Times New Roman"/>
        </w:rPr>
        <w:t>2.1 Meldepflicht (Art. 24 Abs. 2 DSA)</w:t>
      </w:r>
    </w:p>
    <w:p>
      <w:pPr>
        <w:jc w:val="left"/>
      </w:pPr>
      <w:r>
        <w:t>Plattformanbieter mit mehr als 45 Mio. aktiven Nutzern sind verpflichtet, die Kommission und den zuständigen DSC hiervon unverzüglich zu unterrichten. Körnerstrom Social GmbH übermittelte die Nutzerzahlen für Dezember 2025 am 15. Januar 2026 an die Kommission und die Bundesnetzagentur. Die Meldung erfolgte fristgerecht.</w:t>
      </w:r>
    </w:p>
    <w:p>
      <w:pPr>
        <w:pStyle w:val="Heading3"/>
      </w:pPr>
      <w:r>
        <w:rPr>
          <w:rFonts w:ascii="Times New Roman" w:hAnsi="Times New Roman"/>
        </w:rPr>
        <w:t>2.2 Formelle Designation (Art. 33 Abs. 4 DSA)</w:t>
      </w:r>
    </w:p>
    <w:p>
      <w:pPr>
        <w:jc w:val="left"/>
      </w:pPr>
      <w:r>
        <w:t>Die Kommission erlässt nach Konsultation des zuständigen DSC (hier: BNetzA) einen förmlichen Durchführungsrechtsakt. Dieser wurde am 14. März 2026 erlassen und am 16. März 2026 im Amtsblatt der EU veröffentlicht. Wirksamkeitszeitpunkt: 14. März 2026 (Erlasstag).</w:t>
      </w:r>
    </w:p>
    <w:p>
      <w:pPr>
        <w:pStyle w:val="Heading3"/>
      </w:pPr>
      <w:r>
        <w:rPr>
          <w:rFonts w:ascii="Times New Roman" w:hAnsi="Times New Roman"/>
        </w:rPr>
        <w:t>2.3 Viermonatsfrist für VLOP-Pflichten (Art. 33 Abs. 6 DSA)</w:t>
      </w:r>
    </w:p>
    <w:p>
      <w:pPr>
        <w:jc w:val="left"/>
      </w:pPr>
      <w:r>
        <w:t xml:space="preserve">Mit Designation beginnt eine Viermonatsfrist. Körnerstrom Social GmbH muss die VLOP-spezifischen Pflichten der Art. 34-43 DSA bis spätestens </w:t>
      </w:r>
      <w:r>
        <w:rPr>
          <w:b/>
        </w:rPr>
        <w:t>14. Juli 2026</w:t>
      </w:r>
      <w:r>
        <w:t xml:space="preserve"> vollständig erfüllen. Die Vorbereitungszeit ist damit knapp bemessen.</w:t>
      </w:r>
    </w:p>
    <w:p/>
    <w:p>
      <w:pPr>
        <w:pStyle w:val="Heading2"/>
      </w:pPr>
      <w:r>
        <w:rPr>
          <w:rFonts w:ascii="Times New Roman" w:hAnsi="Times New Roman"/>
        </w:rPr>
        <w:t>3. Materielle Prüfung des Designationstatbestands</w:t>
      </w:r>
    </w:p>
    <w:p>
      <w:pPr>
        <w:pStyle w:val="Heading3"/>
      </w:pPr>
      <w:r>
        <w:rPr>
          <w:rFonts w:ascii="Times New Roman" w:hAnsi="Times New Roman"/>
        </w:rPr>
        <w:t>3.1 Berechnungsgrundlage "aktive Nutzer"</w:t>
      </w:r>
    </w:p>
    <w:p>
      <w:pPr>
        <w:jc w:val="left"/>
      </w:pPr>
      <w:r>
        <w:t>Art. 3 lit. b DSA definiert den "Empfänger des Dienstes". Für die Berechnung aktiver Nutzer gilt die Delegierte Verordnung (EU) 2023/1932 der Kommission vom 27. September 2023. Danach sind Nutzer aktiv, wenn sie mindestens einmal im Monat den Dienst tatsächlich genutzt haben (z.B. durch Anmeldung, Content-Abruf oder Interaktion).</w:t>
      </w:r>
    </w:p>
    <w:p>
      <w:pPr>
        <w:jc w:val="left"/>
      </w:pPr>
      <w:r>
        <w:t>Körnerstrom Social GmbH hat nach eigenen Angaben die Berechnung nach dem Standardverfahren der Delegierten Verordnung durchgeführt. Eine externe Validierung der Nutzerzahlen stand zum Zeitpunkt der Meldung noch aus. Dies ist ein potenzielles Risiko, falls die Kommission die Berechnungsmethodik anfechtet.</w:t>
      </w:r>
    </w:p>
    <w:p>
      <w:pPr>
        <w:jc w:val="left"/>
      </w:pPr>
      <w:r>
        <w:rPr>
          <w:b/>
        </w:rPr>
        <w:t>Empfehlung:</w:t>
      </w:r>
      <w:r>
        <w:t xml:space="preserve"> Unverzügliche externe Validierung der Nutzerzahlberechnung beauftragen (ggf. bei PwC im Rahmen des ohnehin laufenden Audit-Prozesses).</w:t>
      </w:r>
    </w:p>
    <w:p>
      <w:pPr>
        <w:pStyle w:val="Heading3"/>
      </w:pPr>
      <w:r>
        <w:rPr>
          <w:rFonts w:ascii="Times New Roman" w:hAnsi="Times New Roman"/>
        </w:rPr>
        <w:t>3.2 Räumlicher Anwendungsbereich</w:t>
      </w:r>
    </w:p>
    <w:p>
      <w:pPr>
        <w:jc w:val="left"/>
      </w:pPr>
      <w:r>
        <w:t>Die Designation betrifft ausschließlich aktive Nutzer in der EU. Nutzer in Drittstaaten (z.B. Schweiz, UK) sind nicht mitzuzählen. Nach Darstellung der Mandantin wurden ausschließlich EU-27-Nutzer erfasst.</w:t>
      </w:r>
    </w:p>
    <w:p>
      <w:pPr>
        <w:pStyle w:val="Heading3"/>
      </w:pPr>
      <w:r>
        <w:rPr>
          <w:rFonts w:ascii="Times New Roman" w:hAnsi="Times New Roman"/>
        </w:rPr>
        <w:t>3.3 Zeitliche Kontinuität</w:t>
      </w:r>
    </w:p>
    <w:p>
      <w:pPr>
        <w:jc w:val="left"/>
      </w:pPr>
      <w:r>
        <w:t>Laut Art. 33 Abs. 2 DSA gilt die VLOP-Designation fort, solange die 45-Mio.-Schwelle nicht dauerhaft unterschritten wird. Unterschreitung über 12 aufeinanderfolgende Monate kann zur Aufhebung der Designation führen (Art. 33 Abs. 5 DSA). Für Körnerstrom Social GmbH ist kurzfristig keine Unterschreitung zu erwarten.</w:t>
      </w:r>
    </w:p>
    <w:p/>
    <w:p>
      <w:pPr>
        <w:pStyle w:val="Heading2"/>
      </w:pPr>
      <w:r>
        <w:rPr>
          <w:rFonts w:ascii="Times New Roman" w:hAnsi="Times New Roman"/>
        </w:rPr>
        <w:t>4. Anfechtbarkeit des Designationsbeschlusses</w:t>
      </w:r>
    </w:p>
    <w:p>
      <w:pPr>
        <w:pStyle w:val="Heading3"/>
      </w:pPr>
      <w:r>
        <w:rPr>
          <w:rFonts w:ascii="Times New Roman" w:hAnsi="Times New Roman"/>
        </w:rPr>
        <w:t>4.1 Klagebefugnis</w:t>
      </w:r>
    </w:p>
    <w:p>
      <w:pPr>
        <w:jc w:val="left"/>
      </w:pPr>
      <w:r>
        <w:t xml:space="preserve">Als unmittelbar und individuell betroffene Adressatin hat die Körnerstrom Social GmbH grundsätzlich Klagebefugnis nach Art. 263 Abs. 4 AEUV vor dem Gericht der Europäischen Union (EuG). Die Klagefrist beträgt zwei Monate ab Bekanntgabe des Beschlusses (Art. 263 Abs. 6 AEUV), also bis </w:t>
      </w:r>
      <w:r>
        <w:rPr>
          <w:b/>
        </w:rPr>
        <w:t>14. Mai 2026</w:t>
      </w:r>
      <w:r>
        <w:t>.</w:t>
      </w:r>
    </w:p>
    <w:p>
      <w:pPr>
        <w:pStyle w:val="Heading3"/>
      </w:pPr>
      <w:r>
        <w:rPr>
          <w:rFonts w:ascii="Times New Roman" w:hAnsi="Times New Roman"/>
        </w:rPr>
        <w:t>4.2 Erfolgsaussichten</w:t>
      </w:r>
    </w:p>
    <w:p>
      <w:pPr>
        <w:jc w:val="left"/>
      </w:pPr>
      <w:r>
        <w:t>Angesichts der eindeutigen Überschreitung der 45-Mio.-Schwelle (51 Mio. vs. 45 Mio.) sind die Erfolgsaussichten einer Anfechtungsklage als gering einzustufen. Die Energieressourcen sollten vorrangig auf Compliance-Umsetzung und Abwehr des BNetzA-Mahnverfahrens gelenkt werden.</w:t>
      </w:r>
    </w:p>
    <w:p>
      <w:pPr>
        <w:jc w:val="left"/>
      </w:pPr>
      <w:r>
        <w:rPr>
          <w:b/>
        </w:rPr>
        <w:t>Empfehlung:</w:t>
      </w:r>
      <w:r>
        <w:t xml:space="preserve"> Klageoption vorsorglich offen halten (keine Fristversäumnis), aber nicht einlegen. Strategiefokus auf VLOP-Compliance-Umsetzung.</w:t>
      </w:r>
    </w:p>
    <w:p/>
    <w:p>
      <w:pPr>
        <w:pStyle w:val="Heading2"/>
      </w:pPr>
      <w:r>
        <w:rPr>
          <w:rFonts w:ascii="Times New Roman" w:hAnsi="Times New Roman"/>
        </w:rPr>
        <w:t>5. Übersicht: Pflichten ab Designation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Artikel DSA</w:t>
            </w:r>
          </w:p>
        </w:tc>
        <w:tc>
          <w:tcPr>
            <w:tcW w:type="dxa" w:w="3024"/>
          </w:tcPr>
          <w:p>
            <w:r>
              <w:rPr>
                <w:rFonts w:ascii="Times New Roman" w:hAnsi="Times New Roman"/>
                <w:b/>
                <w:sz w:val="20"/>
              </w:rPr>
              <w:t>Pflicht</w:t>
            </w:r>
          </w:p>
        </w:tc>
        <w:tc>
          <w:tcPr>
            <w:tcW w:type="dxa" w:w="3024"/>
          </w:tcPr>
          <w:p>
            <w:r>
              <w:rPr>
                <w:rFonts w:ascii="Times New Roman" w:hAnsi="Times New Roman"/>
                <w:b/>
                <w:sz w:val="20"/>
              </w:rPr>
              <w:t>Frist</w:t>
            </w:r>
          </w:p>
        </w:tc>
      </w:tr>
      <w:tr>
        <w:tc>
          <w:tcPr>
            <w:tcW w:type="dxa" w:w="3024"/>
          </w:tcPr>
          <w:p>
            <w:r>
              <w:rPr>
                <w:rFonts w:ascii="Times New Roman" w:hAnsi="Times New Roman"/>
                <w:sz w:val="20"/>
              </w:rPr>
              <w:t>Art. 34</w:t>
            </w:r>
          </w:p>
        </w:tc>
        <w:tc>
          <w:tcPr>
            <w:tcW w:type="dxa" w:w="3024"/>
          </w:tcPr>
          <w:p>
            <w:r>
              <w:rPr>
                <w:rFonts w:ascii="Times New Roman" w:hAnsi="Times New Roman"/>
                <w:sz w:val="20"/>
              </w:rPr>
              <w:t>Systemische Risikobewertung</w:t>
            </w:r>
          </w:p>
        </w:tc>
        <w:tc>
          <w:tcPr>
            <w:tcW w:type="dxa" w:w="3024"/>
          </w:tcPr>
          <w:p>
            <w:r>
              <w:rPr>
                <w:rFonts w:ascii="Times New Roman" w:hAnsi="Times New Roman"/>
                <w:sz w:val="20"/>
              </w:rPr>
              <w:t>Laufend, jährlich</w:t>
            </w:r>
          </w:p>
        </w:tc>
      </w:tr>
      <w:tr>
        <w:tc>
          <w:tcPr>
            <w:tcW w:type="dxa" w:w="3024"/>
          </w:tcPr>
          <w:p>
            <w:r>
              <w:rPr>
                <w:rFonts w:ascii="Times New Roman" w:hAnsi="Times New Roman"/>
                <w:sz w:val="20"/>
              </w:rPr>
              <w:t>Art. 35</w:t>
            </w:r>
          </w:p>
        </w:tc>
        <w:tc>
          <w:tcPr>
            <w:tcW w:type="dxa" w:w="3024"/>
          </w:tcPr>
          <w:p>
            <w:r>
              <w:rPr>
                <w:rFonts w:ascii="Times New Roman" w:hAnsi="Times New Roman"/>
                <w:sz w:val="20"/>
              </w:rPr>
              <w:t>Risikominderungsmaßnahmen</w:t>
            </w:r>
          </w:p>
        </w:tc>
        <w:tc>
          <w:tcPr>
            <w:tcW w:type="dxa" w:w="3024"/>
          </w:tcPr>
          <w:p>
            <w:r>
              <w:rPr>
                <w:rFonts w:ascii="Times New Roman" w:hAnsi="Times New Roman"/>
                <w:sz w:val="20"/>
              </w:rPr>
              <w:t>14.07.2026</w:t>
            </w:r>
          </w:p>
        </w:tc>
      </w:tr>
      <w:tr>
        <w:tc>
          <w:tcPr>
            <w:tcW w:type="dxa" w:w="3024"/>
          </w:tcPr>
          <w:p>
            <w:r>
              <w:rPr>
                <w:rFonts w:ascii="Times New Roman" w:hAnsi="Times New Roman"/>
                <w:sz w:val="20"/>
              </w:rPr>
              <w:t>Art. 36</w:t>
            </w:r>
          </w:p>
        </w:tc>
        <w:tc>
          <w:tcPr>
            <w:tcW w:type="dxa" w:w="3024"/>
          </w:tcPr>
          <w:p>
            <w:r>
              <w:rPr>
                <w:rFonts w:ascii="Times New Roman" w:hAnsi="Times New Roman"/>
                <w:sz w:val="20"/>
              </w:rPr>
              <w:t>Krisenreaktionsmechanismus</w:t>
            </w:r>
          </w:p>
        </w:tc>
        <w:tc>
          <w:tcPr>
            <w:tcW w:type="dxa" w:w="3024"/>
          </w:tcPr>
          <w:p>
            <w:r>
              <w:rPr>
                <w:rFonts w:ascii="Times New Roman" w:hAnsi="Times New Roman"/>
                <w:sz w:val="20"/>
              </w:rPr>
              <w:t>14.07.2026</w:t>
            </w:r>
          </w:p>
        </w:tc>
      </w:tr>
      <w:tr>
        <w:tc>
          <w:tcPr>
            <w:tcW w:type="dxa" w:w="3024"/>
          </w:tcPr>
          <w:p>
            <w:r>
              <w:rPr>
                <w:rFonts w:ascii="Times New Roman" w:hAnsi="Times New Roman"/>
                <w:sz w:val="20"/>
              </w:rPr>
              <w:t>Art. 37</w:t>
            </w:r>
          </w:p>
        </w:tc>
        <w:tc>
          <w:tcPr>
            <w:tcW w:type="dxa" w:w="3024"/>
          </w:tcPr>
          <w:p>
            <w:r>
              <w:rPr>
                <w:rFonts w:ascii="Times New Roman" w:hAnsi="Times New Roman"/>
                <w:sz w:val="20"/>
              </w:rPr>
              <w:t>Externer Audit</w:t>
            </w:r>
          </w:p>
        </w:tc>
        <w:tc>
          <w:tcPr>
            <w:tcW w:type="dxa" w:w="3024"/>
          </w:tcPr>
          <w:p>
            <w:r>
              <w:rPr>
                <w:rFonts w:ascii="Times New Roman" w:hAnsi="Times New Roman"/>
                <w:sz w:val="20"/>
              </w:rPr>
              <w:t>Erstaudit bis 14.07.2026</w:t>
            </w:r>
          </w:p>
        </w:tc>
      </w:tr>
      <w:tr>
        <w:tc>
          <w:tcPr>
            <w:tcW w:type="dxa" w:w="3024"/>
          </w:tcPr>
          <w:p>
            <w:r>
              <w:rPr>
                <w:rFonts w:ascii="Times New Roman" w:hAnsi="Times New Roman"/>
                <w:sz w:val="20"/>
              </w:rPr>
              <w:t>Art. 39</w:t>
            </w:r>
          </w:p>
        </w:tc>
        <w:tc>
          <w:tcPr>
            <w:tcW w:type="dxa" w:w="3024"/>
          </w:tcPr>
          <w:p>
            <w:r>
              <w:rPr>
                <w:rFonts w:ascii="Times New Roman" w:hAnsi="Times New Roman"/>
                <w:sz w:val="20"/>
              </w:rPr>
              <w:t>Werbeanzeigen-Repository</w:t>
            </w:r>
          </w:p>
        </w:tc>
        <w:tc>
          <w:tcPr>
            <w:tcW w:type="dxa" w:w="3024"/>
          </w:tcPr>
          <w:p>
            <w:r>
              <w:rPr>
                <w:rFonts w:ascii="Times New Roman" w:hAnsi="Times New Roman"/>
                <w:sz w:val="20"/>
              </w:rPr>
              <w:t>Laufend</w:t>
            </w:r>
          </w:p>
        </w:tc>
      </w:tr>
      <w:tr>
        <w:tc>
          <w:tcPr>
            <w:tcW w:type="dxa" w:w="3024"/>
          </w:tcPr>
          <w:p>
            <w:r>
              <w:rPr>
                <w:rFonts w:ascii="Times New Roman" w:hAnsi="Times New Roman"/>
                <w:sz w:val="20"/>
              </w:rPr>
              <w:t>Art. 40</w:t>
            </w:r>
          </w:p>
        </w:tc>
        <w:tc>
          <w:tcPr>
            <w:tcW w:type="dxa" w:w="3024"/>
          </w:tcPr>
          <w:p>
            <w:r>
              <w:rPr>
                <w:rFonts w:ascii="Times New Roman" w:hAnsi="Times New Roman"/>
                <w:sz w:val="20"/>
              </w:rPr>
              <w:t>Datenzugang für Forscher</w:t>
            </w:r>
          </w:p>
        </w:tc>
        <w:tc>
          <w:tcPr>
            <w:tcW w:type="dxa" w:w="3024"/>
          </w:tcPr>
          <w:p>
            <w:r>
              <w:rPr>
                <w:rFonts w:ascii="Times New Roman" w:hAnsi="Times New Roman"/>
                <w:sz w:val="20"/>
              </w:rPr>
              <w:t>14.07.2026</w:t>
            </w:r>
          </w:p>
        </w:tc>
      </w:tr>
      <w:tr>
        <w:tc>
          <w:tcPr>
            <w:tcW w:type="dxa" w:w="3024"/>
          </w:tcPr>
          <w:p>
            <w:r>
              <w:rPr>
                <w:rFonts w:ascii="Times New Roman" w:hAnsi="Times New Roman"/>
                <w:sz w:val="20"/>
              </w:rPr>
              <w:t>Art. 42</w:t>
            </w:r>
          </w:p>
        </w:tc>
        <w:tc>
          <w:tcPr>
            <w:tcW w:type="dxa" w:w="3024"/>
          </w:tcPr>
          <w:p>
            <w:r>
              <w:rPr>
                <w:rFonts w:ascii="Times New Roman" w:hAnsi="Times New Roman"/>
                <w:sz w:val="20"/>
              </w:rPr>
              <w:t>Transparenzberichte (VLOP-erweitert)</w:t>
            </w:r>
          </w:p>
        </w:tc>
        <w:tc>
          <w:tcPr>
            <w:tcW w:type="dxa" w:w="3024"/>
          </w:tcPr>
          <w:p>
            <w:r>
              <w:rPr>
                <w:rFonts w:ascii="Times New Roman" w:hAnsi="Times New Roman"/>
                <w:sz w:val="20"/>
              </w:rPr>
              <w:t>Jährlich</w:t>
            </w:r>
          </w:p>
        </w:tc>
      </w:tr>
      <w:tr>
        <w:tc>
          <w:tcPr>
            <w:tcW w:type="dxa" w:w="3024"/>
          </w:tcPr>
          <w:p>
            <w:r>
              <w:rPr>
                <w:rFonts w:ascii="Times New Roman" w:hAnsi="Times New Roman"/>
                <w:sz w:val="20"/>
              </w:rPr>
              <w:t>Art. 43</w:t>
            </w:r>
          </w:p>
        </w:tc>
        <w:tc>
          <w:tcPr>
            <w:tcW w:type="dxa" w:w="3024"/>
          </w:tcPr>
          <w:p>
            <w:r>
              <w:rPr>
                <w:rFonts w:ascii="Times New Roman" w:hAnsi="Times New Roman"/>
                <w:sz w:val="20"/>
              </w:rPr>
              <w:t>Aufsichtsabgabe</w:t>
            </w:r>
          </w:p>
        </w:tc>
        <w:tc>
          <w:tcPr>
            <w:tcW w:type="dxa" w:w="3024"/>
          </w:tcPr>
          <w:p>
            <w:r>
              <w:rPr>
                <w:rFonts w:ascii="Times New Roman" w:hAnsi="Times New Roman"/>
                <w:sz w:val="20"/>
              </w:rPr>
              <w:t>Jährlich</w:t>
            </w:r>
          </w:p>
        </w:tc>
      </w:tr>
    </w:tbl>
    <w:p/>
    <w:p>
      <w:pPr>
        <w:pStyle w:val="Heading2"/>
      </w:pPr>
      <w:r>
        <w:rPr>
          <w:rFonts w:ascii="Times New Roman" w:hAnsi="Times New Roman"/>
        </w:rPr>
        <w:t>6. Rechtsgrundlagen</w:t>
      </w:r>
    </w:p>
    <w:p>
      <w:pPr>
        <w:pStyle w:val="ListBullet"/>
      </w:pPr>
      <w:r>
        <w:t>Art. 33 DSA (EU) 2022/2065 — VLOP-Designation</w:t>
      </w:r>
    </w:p>
    <w:p>
      <w:pPr>
        <w:pStyle w:val="ListBullet"/>
      </w:pPr>
      <w:r>
        <w:t>Art. 263 Abs. 4, Abs. 6 AEUV — Nichtigkeitsklage</w:t>
      </w:r>
    </w:p>
    <w:p>
      <w:pPr>
        <w:pStyle w:val="ListBullet"/>
      </w:pPr>
      <w:r>
        <w:t>Delegierte Verordnung (EU) 2023/1932 — Berechnung aktiver Nutzer</w:t>
      </w:r>
    </w:p>
    <w:p>
      <w:pPr>
        <w:jc w:val="left"/>
      </w:pPr>
      <w:r>
        <w:rPr>
          <w:b/>
        </w:rPr>
        <w:t>Quellen:</w:t>
      </w:r>
    </w:p>
    <w:p>
      <w:pPr>
        <w:pStyle w:val="ListBullet"/>
      </w:pPr>
      <w:r>
        <w:t>Verordnung (EU) 2022/2065 (DSA), EUR-Lex: https://eur-lex.europa.eu/legal-content/DE/TXT/?uri=CELEX%3A32022R2065</w:t>
      </w:r>
    </w:p>
    <w:p>
      <w:pPr>
        <w:pStyle w:val="ListBullet"/>
      </w:pPr>
      <w:r>
        <w:t>Delegierte Verordnung (EU) 2023/1932, EUR-Lex: https://eur-lex.europa.eu/legal-content/DE/TXT/?uri=CELEX%3A32023R1932</w:t>
      </w:r>
    </w:p>
    <w:p/>
    <w:p>
      <w:pPr>
        <w:jc w:val="left"/>
      </w:pPr>
      <w:r>
        <w:rPr>
          <w:i/>
        </w:rPr>
        <w:t>Bearbeiterin: RAin Dr. Philippa Groth-Steinberg</w:t>
      </w:r>
    </w:p>
    <w:p>
      <w:pPr>
        <w:jc w:val="left"/>
      </w:pPr>
      <w:r>
        <w:rPr>
          <w:i/>
        </w:rPr>
        <w:t>Stand: 22. März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