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Risikominderungsmaßnahmen nach Art. 35 DSA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 Felix Wendland, RAin Dr. Philippa Groth-Steinberg</w:t>
      </w:r>
    </w:p>
    <w:p>
      <w:pPr>
        <w:jc w:val="left"/>
      </w:pPr>
      <w:r>
        <w:rPr>
          <w:b/>
        </w:rPr>
        <w:t>Stand:</w:t>
      </w:r>
      <w:r>
        <w:t xml:space="preserve"> 26. März 2026</w:t>
      </w:r>
    </w:p>
    <w:p/>
    <w:p>
      <w:pPr>
        <w:pStyle w:val="Heading2"/>
      </w:pPr>
      <w:r>
        <w:rPr>
          <w:rFonts w:ascii="Times New Roman" w:hAnsi="Times New Roman"/>
        </w:rPr>
        <w:t>1. Normgrundlage</w:t>
      </w:r>
    </w:p>
    <w:p>
      <w:pPr>
        <w:jc w:val="left"/>
      </w:pPr>
      <w:r>
        <w:t>Art. 35 DSA verpflichtet Anbieter von VLOPs, angemessene, verhältnismäßige und wirksame Risikominderungsmaßnahmen zu ergreifen, die auf die in der Risikobewertung nach Art. 34 DSA festgestellten systemischen Risiken zugeschnitten sind. Art. 35 Abs. 1 DSA listet dabei einen nichtabschließenden Katalog möglicher Maßnahmen auf.</w:t>
      </w:r>
    </w:p>
    <w:p/>
    <w:p>
      <w:pPr>
        <w:pStyle w:val="Heading2"/>
      </w:pPr>
      <w:r>
        <w:rPr>
          <w:rFonts w:ascii="Times New Roman" w:hAnsi="Times New Roman"/>
        </w:rPr>
        <w:t>2. Maßnahmenkatalog für Halmweise.de</w:t>
      </w:r>
    </w:p>
    <w:p>
      <w:pPr>
        <w:pStyle w:val="Heading3"/>
      </w:pPr>
      <w:r>
        <w:rPr>
          <w:rFonts w:ascii="Times New Roman" w:hAnsi="Times New Roman"/>
        </w:rPr>
        <w:t>2.1 Maßnahmen gegen Hassrede und illegale Inhalte (Art. 35 Abs. 1 lit. a, k)</w:t>
      </w:r>
    </w:p>
    <w:p>
      <w:pPr>
        <w:jc w:val="left"/>
      </w:pPr>
      <w:r>
        <w:rPr>
          <w:b/>
        </w:rPr>
        <w:t>Priorität 1 — Notice-and-Action-Reform</w:t>
      </w:r>
    </w:p>
    <w:p>
      <w:pPr>
        <w:jc w:val="left"/>
      </w:pPr>
      <w:r>
        <w:t>Die Bundesnetzagentur hat als DSC die verspätete Bearbeitung von Notice-and-Action-Meldungen (Art. 16 DSA) bei Hassrede beanstandet. Folgende Maßnahmen sind erforderlich:</w:t>
      </w:r>
    </w:p>
    <w:p>
      <w:pPr>
        <w:pStyle w:val="ListBullet"/>
      </w:pPr>
      <w:r>
        <w:t>Einführung eines SLA (Service Level Agreement) für die Bearbeitung von Meldungen: Hassrede-Meldungen müssen innerhalb von 24 Stunden (Hochrisiko) bzw. 72 Stunden (Standardrisiko) bearbeitet werden.</w:t>
      </w:r>
    </w:p>
    <w:p>
      <w:pPr>
        <w:pStyle w:val="ListBullet"/>
      </w:pPr>
      <w:r>
        <w:t>Erweiterung des Trust &amp; Safety Teams um mindestens 30 Vollzeitstellen.</w:t>
      </w:r>
    </w:p>
    <w:p>
      <w:pPr>
        <w:pStyle w:val="ListBullet"/>
      </w:pPr>
      <w:r>
        <w:t>KI-gestützte Vorab-Klassifikation von gemeldeten Inhalten zur Priorisierung.</w:t>
      </w:r>
    </w:p>
    <w:p>
      <w:pPr>
        <w:pStyle w:val="ListBullet"/>
      </w:pPr>
      <w:r>
        <w:t>Einrichtung einer dedizierten Eskalationsschiene für Trusted Flagger nach Art. 22 DSA.</w:t>
      </w:r>
    </w:p>
    <w:p>
      <w:pPr>
        <w:jc w:val="left"/>
      </w:pPr>
      <w:r>
        <w:rPr>
          <w:b/>
        </w:rPr>
        <w:t>Erwartete Wirkung:</w:t>
      </w:r>
      <w:r>
        <w:t xml:space="preserve"> Signifikante Reduzierung der Bearbeitungszeit; Erfüllung der Anforderungen des Art. 16 Abs. 6 DSA (Bearbeitungspflicht ohne unnötige Verzögerung).</w:t>
      </w:r>
    </w:p>
    <w:p/>
    <w:p>
      <w:pPr>
        <w:pStyle w:val="Heading3"/>
      </w:pPr>
      <w:r>
        <w:rPr>
          <w:rFonts w:ascii="Times New Roman" w:hAnsi="Times New Roman"/>
        </w:rPr>
        <w:t>2.2 Maßnahmen zur Algorithmus-Transparenz (Art. 35 Abs. 1 lit. d)</w:t>
      </w:r>
    </w:p>
    <w:p>
      <w:pPr>
        <w:jc w:val="left"/>
      </w:pPr>
      <w:r>
        <w:rPr>
          <w:b/>
        </w:rPr>
        <w:t>Priorität 1 — Non-Profiling-Option HalmRank</w:t>
      </w:r>
    </w:p>
    <w:p>
      <w:pPr>
        <w:jc w:val="left"/>
      </w:pPr>
      <w:r>
        <w:t>Art. 27 Abs. 1 lit. b DSA verlangt, dass VLOPs mindestens eine nicht auf Profiling basierende Empfehlungsoption anbieten. Diese fehlte bei Halmweise.de und ist Gegenstand der BNetzA-Mahnung.</w:t>
      </w:r>
    </w:p>
    <w:p>
      <w:pPr>
        <w:jc w:val="left"/>
      </w:pPr>
      <w:r>
        <w:t>Maßnahmenplan:</w:t>
      </w:r>
    </w:p>
    <w:p>
      <w:pPr>
        <w:pStyle w:val="ListBullet"/>
      </w:pPr>
      <w:r>
        <w:t>Technische Implementierung der chronologischen Timeline als Standardalternative bis 15.06.2026.</w:t>
      </w:r>
    </w:p>
    <w:p>
      <w:pPr>
        <w:pStyle w:val="ListBullet"/>
      </w:pPr>
      <w:r>
        <w:t>Nutzeroberfläche: Klar sichtbare Umschaltmöglichkeit in den Einstellungen.</w:t>
      </w:r>
    </w:p>
    <w:p>
      <w:pPr>
        <w:pStyle w:val="ListBullet"/>
      </w:pPr>
      <w:r>
        <w:t>Dokumentation des Algorithmus-Grundprinzips nach Art. 27 Abs. 1 DSA im Transparenzbereich.</w:t>
      </w:r>
    </w:p>
    <w:p>
      <w:pPr>
        <w:pStyle w:val="ListBullet"/>
      </w:pPr>
      <w:r>
        <w:t>A/B-Test zur Nutzungsrate der Non-Profiling-Option; Ergebnisse in den Transparenzbericht aufnehmen.</w:t>
      </w:r>
    </w:p>
    <w:p/>
    <w:p>
      <w:pPr>
        <w:pStyle w:val="Heading3"/>
      </w:pPr>
      <w:r>
        <w:rPr>
          <w:rFonts w:ascii="Times New Roman" w:hAnsi="Times New Roman"/>
        </w:rPr>
        <w:t>2.3 Maßnahmen zum Werbetransparenz-Repository (Art. 35 Abs. 1 lit. j, Art. 39 DSA)</w:t>
      </w:r>
    </w:p>
    <w:p>
      <w:pPr>
        <w:jc w:val="left"/>
      </w:pPr>
      <w:r>
        <w:rPr>
          <w:b/>
        </w:rPr>
        <w:t>Priorität 2 — Repository-Vervollständigung</w:t>
      </w:r>
    </w:p>
    <w:p>
      <w:pPr>
        <w:jc w:val="left"/>
      </w:pPr>
      <w:r>
        <w:t>Das Werbeanzeigen-Repository nach Art. 39 DSA muss sämtliche Werbeanzeigen der vergangenen 12 Monate dokumentieren. Bislang sind Lücken im Zeitraum Januar bis September 2025 bekannt.</w:t>
      </w:r>
    </w:p>
    <w:p>
      <w:pPr>
        <w:jc w:val="left"/>
      </w:pPr>
      <w:r>
        <w:t>Maßnahmenplan:</w:t>
      </w:r>
    </w:p>
    <w:p>
      <w:pPr>
        <w:pStyle w:val="ListBullet"/>
      </w:pPr>
      <w:r>
        <w:t>Technische Rückfüllung des Repositories für Januar bis September 2025 bis 30.04.2026.</w:t>
      </w:r>
    </w:p>
    <w:p>
      <w:pPr>
        <w:pStyle w:val="ListBullet"/>
      </w:pPr>
      <w:r>
        <w:t>Implementierung automatisierter Datenpipeline zur laufenden Repository-Befüllung.</w:t>
      </w:r>
    </w:p>
    <w:p>
      <w:pPr>
        <w:pStyle w:val="ListBullet"/>
      </w:pPr>
      <w:r>
        <w:t>Öffentliche Zugänglichkeit des Repositories nach Art. 39 Abs. 2 DSA herstellen.</w:t>
      </w:r>
    </w:p>
    <w:p/>
    <w:p>
      <w:pPr>
        <w:pStyle w:val="Heading3"/>
      </w:pPr>
      <w:r>
        <w:rPr>
          <w:rFonts w:ascii="Times New Roman" w:hAnsi="Times New Roman"/>
        </w:rPr>
        <w:t>2.4 Maßnahmen zum Minderjährigenschutz (Art. 35 Abs. 1 lit. f)</w:t>
      </w:r>
    </w:p>
    <w:p>
      <w:pPr>
        <w:jc w:val="left"/>
      </w:pPr>
      <w:r>
        <w:rPr>
          <w:b/>
        </w:rPr>
        <w:t>Priorität 2 — Altersverifikationskonzept</w:t>
      </w:r>
    </w:p>
    <w:p>
      <w:pPr>
        <w:pStyle w:val="ListBullet"/>
      </w:pPr>
      <w:r>
        <w:t>Softgate-Mechanismus: Pflichtangabe des Geburtsdatums bei Neuregistrierung mit Plausibilitätsprüfung.</w:t>
      </w:r>
    </w:p>
    <w:p>
      <w:pPr>
        <w:pStyle w:val="ListBullet"/>
      </w:pPr>
      <w:r>
        <w:t>Inhaltsfilterung: Automatische Kennzeichnung und altersbasierte Sperrung von Inhalten zu Extremdiäten und Selbstverletzung.</w:t>
      </w:r>
    </w:p>
    <w:p>
      <w:pPr>
        <w:pStyle w:val="ListBullet"/>
      </w:pPr>
      <w:r>
        <w:t>Eltern-Benachrichtigungssystem für Nutzer unter 16 Jahren (optional, datenschutzkonform).</w:t>
      </w:r>
    </w:p>
    <w:p/>
    <w:p>
      <w:pPr>
        <w:pStyle w:val="Heading3"/>
      </w:pPr>
      <w:r>
        <w:rPr>
          <w:rFonts w:ascii="Times New Roman" w:hAnsi="Times New Roman"/>
        </w:rPr>
        <w:t>2.5 Maßnahmen zur Krisenprävention (Art. 35 Abs. 1 lit. i, Art. 36 DSA)</w:t>
      </w:r>
    </w:p>
    <w:p>
      <w:pPr>
        <w:pStyle w:val="ListBullet"/>
      </w:pPr>
      <w:r>
        <w:t>Einrichtung eines internen Crisis Response Teams (CRT) aus Trust &amp; Safety, Legal und PR.</w:t>
      </w:r>
    </w:p>
    <w:p>
      <w:pPr>
        <w:pStyle w:val="ListBullet"/>
      </w:pPr>
      <w:r>
        <w:t>Protokoll für koordinierte inauthentic behavior (CIB): Automatisierte Erkennung und Meldung an Strafverfolgungsbehörden.</w:t>
      </w:r>
    </w:p>
    <w:p>
      <w:pPr>
        <w:pStyle w:val="ListBullet"/>
      </w:pPr>
      <w:r>
        <w:t>Jährliche Krisenübungen mit dem BNetzA-DSC.</w:t>
      </w:r>
    </w:p>
    <w:p/>
    <w:p>
      <w:pPr>
        <w:pStyle w:val="Heading2"/>
      </w:pPr>
      <w:r>
        <w:rPr>
          <w:rFonts w:ascii="Times New Roman" w:hAnsi="Times New Roman"/>
        </w:rPr>
        <w:t>3. Zeitplan Maßnahmenumsetzung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SLA Notice-and-Action einführen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Trust &amp; Safety, Legal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Trust &amp; Safety Stellen ausschreiben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HR, Dr. Erbakan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KI-Klassifikation Hassrede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Tech/CTO Schröder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Non-Profiling-Option HalmRank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Tech/CTO Schröder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Repository Rückfüllung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Tech, Legal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Altersverifikation 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Legal, DPO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Crisis Response Team einrichten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Gesamtdokumentation Risikominderung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Verhältnismäßigkeit</w:t>
      </w:r>
    </w:p>
    <w:p>
      <w:pPr>
        <w:jc w:val="left"/>
      </w:pPr>
      <w:r>
        <w:t>Art. 35 Abs. 1 DSA fordert "angemessene und verhältnismäßige" Maßnahmen. Angesichts von 51 Mio. EU-Nutzern und einem Jahresumsatz von ca. 520 Mio. EUR sind die vorgesehenen Maßnahmen mit einem geschätzten Investitionsvolumen von ca. 8-12 Mio. EUR (inkl. Personalaufbau) verhältnismäßig.</w:t>
      </w:r>
    </w:p>
    <w:p>
      <w:pPr>
        <w:jc w:val="left"/>
      </w:pPr>
      <w:r>
        <w:t xml:space="preserve">Ausführlicher Risikoreduktionsplan: vgl. DOCX </w:t>
      </w:r>
      <w:r>
        <w:t>docx/risikoreduktionsplan_halmweise_art35.docx</w:t>
      </w:r>
    </w:p>
    <w:p/>
    <w:p>
      <w:pPr>
        <w:pStyle w:val="Heading2"/>
      </w:pPr>
      <w:r>
        <w:rPr>
          <w:rFonts w:ascii="Times New Roman" w:hAnsi="Times New Roman"/>
        </w:rPr>
        <w:t>5. Rechtsgrundlagen</w:t>
      </w:r>
    </w:p>
    <w:p>
      <w:pPr>
        <w:pStyle w:val="ListBullet"/>
      </w:pPr>
      <w:r>
        <w:t>Art. 35 DSA (EU) 2022/2065 — Risikominderungsmaßnahmen</w:t>
      </w:r>
    </w:p>
    <w:p>
      <w:pPr>
        <w:pStyle w:val="ListBullet"/>
      </w:pPr>
      <w:r>
        <w:t>Art. 16 DSA — Notice-and-Action</w:t>
      </w:r>
    </w:p>
    <w:p>
      <w:pPr>
        <w:pStyle w:val="ListBullet"/>
      </w:pPr>
      <w:r>
        <w:t>Art. 27 DSA — Empfehlungssysteme</w:t>
      </w:r>
    </w:p>
    <w:p>
      <w:pPr>
        <w:pStyle w:val="ListBullet"/>
      </w:pPr>
      <w:r>
        <w:t>Art. 39 DSA — Werbetransparenz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/>
    <w:p>
      <w:pPr>
        <w:jc w:val="left"/>
      </w:pPr>
      <w:r>
        <w:rPr>
          <w:i/>
        </w:rPr>
        <w:t>Bearbeitung: RA Felix Wendland, RAin Dr. Philippa Groth-Steinberg</w:t>
      </w:r>
    </w:p>
    <w:p>
      <w:pPr>
        <w:jc w:val="left"/>
      </w:pPr>
      <w:r>
        <w:rPr>
          <w:i/>
        </w:rPr>
        <w:t>Stand: 26. März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