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06 — Externer Audit nach Art. 37 DSA: Anbieterauswahl und Vorbereitung</w:t>
      </w:r>
    </w:p>
    <w:p>
      <w:pPr>
        <w:jc w:val="left"/>
      </w:pPr>
      <w:r>
        <w:rPr>
          <w:b/>
        </w:rPr>
        <w:t>Az. Kanzlei:</w:t>
      </w:r>
      <w:r>
        <w:t xml:space="preserve"> KRS-2026-0318-DSA</w:t>
      </w:r>
    </w:p>
    <w:p>
      <w:pPr>
        <w:jc w:val="left"/>
      </w:pPr>
      <w:r>
        <w:rPr>
          <w:b/>
        </w:rPr>
        <w:t>Bearbeitung:</w:t>
      </w:r>
      <w:r>
        <w:t xml:space="preserve"> RA Felix Wendland</w:t>
      </w:r>
    </w:p>
    <w:p>
      <w:pPr>
        <w:jc w:val="left"/>
      </w:pPr>
      <w:r>
        <w:rPr>
          <w:b/>
        </w:rPr>
        <w:t>Stand:</w:t>
      </w:r>
      <w:r>
        <w:t xml:space="preserve"> 28. März 2026</w:t>
      </w:r>
    </w:p>
    <w:p/>
    <w:p>
      <w:pPr>
        <w:pStyle w:val="Heading2"/>
      </w:pPr>
      <w:r>
        <w:rPr>
          <w:rFonts w:ascii="Times New Roman" w:hAnsi="Times New Roman"/>
        </w:rPr>
        <w:t>1. Normgrundlage</w:t>
      </w:r>
    </w:p>
    <w:p>
      <w:pPr>
        <w:jc w:val="left"/>
      </w:pPr>
      <w:r>
        <w:t xml:space="preserve">Art. 37 DSA verpflichtet Anbieter von VLOPs, auf eigene Kosten mindestens einmal jährlich Prüfungen durch unabhängige Prüfer (externe Auditoren) durchführen zu lassen. Der Erstaudit ist innerhalb von vier Monaten nach Designation abzuschließen (Art. 33 Abs. 6 DSA), also bis </w:t>
      </w:r>
      <w:r>
        <w:rPr>
          <w:b/>
        </w:rPr>
        <w:t>14. Juli 2026</w:t>
      </w:r>
      <w:r>
        <w:t>.</w:t>
      </w:r>
    </w:p>
    <w:p/>
    <w:p>
      <w:pPr>
        <w:pStyle w:val="Heading2"/>
      </w:pPr>
      <w:r>
        <w:rPr>
          <w:rFonts w:ascii="Times New Roman" w:hAnsi="Times New Roman"/>
        </w:rPr>
        <w:t>2. Anforderungen an den externen Auditor</w:t>
      </w:r>
    </w:p>
    <w:p>
      <w:pPr>
        <w:pStyle w:val="Heading3"/>
      </w:pPr>
      <w:r>
        <w:rPr>
          <w:rFonts w:ascii="Times New Roman" w:hAnsi="Times New Roman"/>
        </w:rPr>
        <w:t>2.1 Unabhängigkeit (Art. 37 Abs. 3 DSA)</w:t>
      </w:r>
    </w:p>
    <w:p>
      <w:pPr>
        <w:jc w:val="left"/>
      </w:pPr>
      <w:r>
        <w:t>Der Prüfer muss unabhängig vom Anbieter und sämtlichen juristischen Personen der gleichen Unternehmensgruppe sein und darf in dem der Prüfung vorangegangenen Jahr keine nicht prüfungsbezogenen Dienstleistungen für den geprüften Anbieter erbracht haben. PwC Deutschland GmbH WPG hat erklärt, im vorangegangenen Jahr keine beratenden Dienstleistungen für Körnerstrom Social GmbH erbracht zu haben.</w:t>
      </w:r>
    </w:p>
    <w:p>
      <w:pPr>
        <w:pStyle w:val="Heading3"/>
      </w:pPr>
      <w:r>
        <w:rPr>
          <w:rFonts w:ascii="Times New Roman" w:hAnsi="Times New Roman"/>
        </w:rPr>
        <w:t>2.2 Fachkompetenz (Art. 37 Abs. 3 DSA)</w:t>
      </w:r>
    </w:p>
    <w:p>
      <w:pPr>
        <w:jc w:val="left"/>
      </w:pPr>
      <w:r>
        <w:t>Erforderlich sind nachgewiesene Kenntnisse in:</w:t>
      </w:r>
    </w:p>
    <w:p>
      <w:pPr>
        <w:pStyle w:val="ListBullet"/>
      </w:pPr>
      <w:r>
        <w:t>Risikoverwaltung</w:t>
      </w:r>
    </w:p>
    <w:p>
      <w:pPr>
        <w:pStyle w:val="ListBullet"/>
      </w:pPr>
      <w:r>
        <w:t>Technischer Kompetenz (Algorithmik, KI-Systeme)</w:t>
      </w:r>
    </w:p>
    <w:p>
      <w:pPr>
        <w:pStyle w:val="ListBullet"/>
      </w:pPr>
      <w:r>
        <w:t>Datenschutz (DSGVO)</w:t>
      </w:r>
    </w:p>
    <w:p>
      <w:pPr>
        <w:pStyle w:val="ListBullet"/>
      </w:pPr>
      <w:r>
        <w:t>Verbraucher- und Plattformrecht</w:t>
      </w:r>
    </w:p>
    <w:p>
      <w:pPr>
        <w:pStyle w:val="Heading3"/>
      </w:pPr>
      <w:r>
        <w:rPr>
          <w:rFonts w:ascii="Times New Roman" w:hAnsi="Times New Roman"/>
        </w:rPr>
        <w:t>2.3 Akkreditierung</w:t>
      </w:r>
    </w:p>
    <w:p>
      <w:pPr>
        <w:jc w:val="left"/>
      </w:pPr>
      <w:r>
        <w:t>Die Kommission hat am 27. Januar 2025 Leitlinien zu Anforderungen an Prüfer nach Art. 37 DSA veröffentlicht (C(2025) 701 final). PwC Deutschland erfüllt die dort genannten Mindestanforderungen.</w:t>
      </w:r>
    </w:p>
    <w:p/>
    <w:p>
      <w:pPr>
        <w:pStyle w:val="Heading2"/>
      </w:pPr>
      <w:r>
        <w:rPr>
          <w:rFonts w:ascii="Times New Roman" w:hAnsi="Times New Roman"/>
        </w:rPr>
        <w:t>3. Angebotsprozess</w:t>
      </w:r>
    </w:p>
    <w:p>
      <w:pPr>
        <w:jc w:val="left"/>
      </w:pPr>
      <w:r>
        <w:t>Es wurden drei Anbieter angefragt: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Anbieter</w:t>
            </w:r>
          </w:p>
        </w:tc>
        <w:tc>
          <w:tcPr>
            <w:tcW w:type="dxa" w:w="2268"/>
          </w:tcPr>
          <w:p>
            <w:r>
              <w:rPr>
                <w:rFonts w:ascii="Times New Roman" w:hAnsi="Times New Roman"/>
                <w:b/>
                <w:sz w:val="20"/>
              </w:rPr>
              <w:t>Angebotsstatus</w:t>
            </w:r>
          </w:p>
        </w:tc>
        <w:tc>
          <w:tcPr>
            <w:tcW w:type="dxa" w:w="2268"/>
          </w:tcPr>
          <w:p>
            <w:r>
              <w:rPr>
                <w:rFonts w:ascii="Times New Roman" w:hAnsi="Times New Roman"/>
                <w:b/>
                <w:sz w:val="20"/>
              </w:rPr>
              <w:t>Preis (geschätzt)</w:t>
            </w:r>
          </w:p>
        </w:tc>
        <w:tc>
          <w:tcPr>
            <w:tcW w:type="dxa" w:w="2268"/>
          </w:tcPr>
          <w:p>
            <w:r>
              <w:rPr>
                <w:rFonts w:ascii="Times New Roman" w:hAnsi="Times New Roman"/>
                <w:b/>
                <w:sz w:val="20"/>
              </w:rPr>
              <w:t>Zeitplan</w:t>
            </w:r>
          </w:p>
        </w:tc>
      </w:tr>
      <w:tr>
        <w:tc>
          <w:tcPr>
            <w:tcW w:type="dxa" w:w="2268"/>
          </w:tcPr>
          <w:p>
            <w:r>
              <w:rPr>
                <w:rFonts w:ascii="Times New Roman" w:hAnsi="Times New Roman"/>
                <w:sz w:val="20"/>
              </w:rPr>
              <w:t>PwC Deutschland GmbH WPG</w:t>
            </w:r>
          </w:p>
        </w:tc>
        <w:tc>
          <w:tcPr>
            <w:tcW w:type="dxa" w:w="2268"/>
          </w:tcPr>
          <w:p>
            <w:r>
              <w:rPr>
                <w:rFonts w:ascii="Times New Roman" w:hAnsi="Times New Roman"/>
                <w:sz w:val="20"/>
              </w:rPr>
              <w:t>Angebot vorgelegt (08.05.2026)</w:t>
            </w:r>
          </w:p>
        </w:tc>
        <w:tc>
          <w:tcPr>
            <w:tcW w:type="dxa" w:w="2268"/>
          </w:tcPr>
          <w:p>
            <w:r>
              <w:rPr>
                <w:rFonts w:ascii="Times New Roman" w:hAnsi="Times New Roman"/>
                <w:sz w:val="20"/>
              </w:rPr>
              <w:t>380.000 EUR</w:t>
            </w:r>
          </w:p>
        </w:tc>
        <w:tc>
          <w:tcPr>
            <w:tcW w:type="dxa" w:w="2268"/>
          </w:tcPr>
          <w:p>
            <w:r>
              <w:rPr>
                <w:rFonts w:ascii="Times New Roman" w:hAnsi="Times New Roman"/>
                <w:sz w:val="20"/>
              </w:rPr>
              <w:t>Audit Juli 2026 möglich</w:t>
            </w:r>
          </w:p>
        </w:tc>
      </w:tr>
      <w:tr>
        <w:tc>
          <w:tcPr>
            <w:tcW w:type="dxa" w:w="2268"/>
          </w:tcPr>
          <w:p>
            <w:r>
              <w:rPr>
                <w:rFonts w:ascii="Times New Roman" w:hAnsi="Times New Roman"/>
                <w:sz w:val="20"/>
              </w:rPr>
              <w:t>Deloitte GmbH WPG</w:t>
            </w:r>
          </w:p>
        </w:tc>
        <w:tc>
          <w:tcPr>
            <w:tcW w:type="dxa" w:w="2268"/>
          </w:tcPr>
          <w:p>
            <w:r>
              <w:rPr>
                <w:rFonts w:ascii="Times New Roman" w:hAnsi="Times New Roman"/>
                <w:sz w:val="20"/>
              </w:rPr>
              <w:t>Angebot abgewartet</w:t>
            </w:r>
          </w:p>
        </w:tc>
        <w:tc>
          <w:tcPr>
            <w:tcW w:type="dxa" w:w="2268"/>
          </w:tcPr>
          <w:p>
            <w:r>
              <w:rPr>
                <w:rFonts w:ascii="Times New Roman" w:hAnsi="Times New Roman"/>
                <w:sz w:val="20"/>
              </w:rPr>
              <w:t>ca. 420.000 EUR erwartet</w:t>
            </w:r>
          </w:p>
        </w:tc>
        <w:tc>
          <w:tcPr>
            <w:tcW w:type="dxa" w:w="2268"/>
          </w:tcPr>
          <w:p>
            <w:r>
              <w:rPr>
                <w:rFonts w:ascii="Times New Roman" w:hAnsi="Times New Roman"/>
                <w:sz w:val="20"/>
              </w:rPr>
              <w:t>Zeitplan unklar</w:t>
            </w:r>
          </w:p>
        </w:tc>
      </w:tr>
      <w:tr>
        <w:tc>
          <w:tcPr>
            <w:tcW w:type="dxa" w:w="2268"/>
          </w:tcPr>
          <w:p>
            <w:r>
              <w:rPr>
                <w:rFonts w:ascii="Times New Roman" w:hAnsi="Times New Roman"/>
                <w:sz w:val="20"/>
              </w:rPr>
              <w:t>Bureau Veritas SA</w:t>
            </w:r>
          </w:p>
        </w:tc>
        <w:tc>
          <w:tcPr>
            <w:tcW w:type="dxa" w:w="2268"/>
          </w:tcPr>
          <w:p>
            <w:r>
              <w:rPr>
                <w:rFonts w:ascii="Times New Roman" w:hAnsi="Times New Roman"/>
                <w:sz w:val="20"/>
              </w:rPr>
              <w:t>Absage (Kapazitätsengpass)</w:t>
            </w:r>
          </w:p>
        </w:tc>
        <w:tc>
          <w:tcPr>
            <w:tcW w:type="dxa" w:w="2268"/>
          </w:tcPr>
          <w:p>
            <w:r>
              <w:rPr>
                <w:rFonts w:ascii="Times New Roman" w:hAnsi="Times New Roman"/>
                <w:sz w:val="20"/>
              </w:rPr>
              <w:t>—</w:t>
            </w:r>
          </w:p>
        </w:tc>
        <w:tc>
          <w:tcPr>
            <w:tcW w:type="dxa" w:w="2268"/>
          </w:tcPr>
          <w:p>
            <w:r>
              <w:rPr>
                <w:rFonts w:ascii="Times New Roman" w:hAnsi="Times New Roman"/>
                <w:sz w:val="20"/>
              </w:rPr>
              <w:t>—</w:t>
            </w:r>
          </w:p>
        </w:tc>
      </w:tr>
    </w:tbl>
    <w:p>
      <w:pPr>
        <w:jc w:val="left"/>
      </w:pPr>
      <w:r>
        <w:rPr>
          <w:b/>
        </w:rPr>
        <w:t>Empfehlung:</w:t>
      </w:r>
      <w:r>
        <w:t xml:space="preserve"> Beauftragung von PwC Deutschland GmbH WPG, da Angebot zeitgerecht vorliegt und Zeitplan die Frist des 14. Juli 2026 einhält.</w:t>
      </w:r>
    </w:p>
    <w:p/>
    <w:p>
      <w:pPr>
        <w:pStyle w:val="Heading2"/>
      </w:pPr>
      <w:r>
        <w:rPr>
          <w:rFonts w:ascii="Times New Roman" w:hAnsi="Times New Roman"/>
        </w:rPr>
        <w:t>4. Umfang des Erstaudits</w:t>
      </w:r>
    </w:p>
    <w:p>
      <w:pPr>
        <w:jc w:val="left"/>
      </w:pPr>
      <w:r>
        <w:t>Der Erstaudit nach Art. 37 Abs. 1 DSA umfasst:</w:t>
      </w:r>
    </w:p>
    <w:p>
      <w:pPr>
        <w:pStyle w:val="ListNumber"/>
      </w:pPr>
      <w:r>
        <w:t>Prüfung der Compliance mit den Verpflichtungen nach dem DSA (allgemeine Pflichten und VLOP-spezifische Pflichten)</w:t>
      </w:r>
    </w:p>
    <w:p>
      <w:pPr>
        <w:pStyle w:val="ListNumber"/>
      </w:pPr>
      <w:r>
        <w:t>Bewertung der Risikobewertung und der Risikominderungsmaßnahmen (Art. 34, 35 DSA)</w:t>
      </w:r>
    </w:p>
    <w:p>
      <w:pPr>
        <w:pStyle w:val="ListNumber"/>
      </w:pPr>
      <w:r>
        <w:t>Überprüfung der Engagements mit Trusted Flaggern (Art. 22 DSA)</w:t>
      </w:r>
    </w:p>
    <w:p>
      <w:pPr>
        <w:pStyle w:val="ListNumber"/>
      </w:pPr>
      <w:r>
        <w:t>Prüfung des Transparenzberichts nach Art. 42 DSA</w:t>
      </w:r>
    </w:p>
    <w:p>
      <w:pPr>
        <w:pStyle w:val="ListNumber"/>
      </w:pPr>
      <w:r>
        <w:t>Bewertung der Empfehlungssysteme nach Art. 27 DSA</w:t>
      </w:r>
    </w:p>
    <w:p>
      <w:pPr>
        <w:pStyle w:val="ListNumber"/>
      </w:pPr>
      <w:r>
        <w:t>Überprüfung des Werbeanzeigen-Repositories nach Art. 39 DSA</w:t>
      </w:r>
    </w:p>
    <w:p/>
    <w:p>
      <w:pPr>
        <w:pStyle w:val="Heading2"/>
      </w:pPr>
      <w:r>
        <w:rPr>
          <w:rFonts w:ascii="Times New Roman" w:hAnsi="Times New Roman"/>
        </w:rPr>
        <w:t>5. Mitwirkungspflichten Körnerstrom Social GmbH</w:t>
      </w:r>
    </w:p>
    <w:p>
      <w:pPr>
        <w:jc w:val="left"/>
      </w:pPr>
      <w:r>
        <w:t>Der Anbieter ist nach Art. 37 Abs. 5 DSA verpflichtet, dem Prüfer auf Verlangen Zugang zu allen Informationen zu gewähren, die für den Zweck der Prüfung erforderlich sind. Dies schließt insbesondere ein:</w:t>
      </w:r>
    </w:p>
    <w:p>
      <w:pPr>
        <w:pStyle w:val="ListBullet"/>
      </w:pPr>
      <w:r>
        <w:t>Vollständige technische Dokumentation des Empfehlungsalgorithmus HalmRank</w:t>
      </w:r>
    </w:p>
    <w:p>
      <w:pPr>
        <w:pStyle w:val="ListBullet"/>
      </w:pPr>
      <w:r>
        <w:t>Dokumentation des Notice-and-Action-Verfahrens einschließlich Fallstatistiken</w:t>
      </w:r>
    </w:p>
    <w:p>
      <w:pPr>
        <w:pStyle w:val="ListBullet"/>
      </w:pPr>
      <w:r>
        <w:t>Werbetargeting-Daten und Repository-Inhalte</w:t>
      </w:r>
    </w:p>
    <w:p>
      <w:pPr>
        <w:pStyle w:val="ListBullet"/>
      </w:pPr>
      <w:r>
        <w:t>Interne Kommunikation zu Trust &amp; Safety-Entscheidungen (soweit prüfungsrelevant)</w:t>
      </w:r>
    </w:p>
    <w:p>
      <w:pPr>
        <w:pStyle w:val="ListBullet"/>
      </w:pPr>
      <w:r>
        <w:t>Datenschutz-Folgenabschätzungen nach Art. 35 DSGVO</w:t>
      </w:r>
    </w:p>
    <w:p>
      <w:pPr>
        <w:jc w:val="left"/>
      </w:pPr>
      <w:r>
        <w:rPr>
          <w:b/>
        </w:rPr>
        <w:t>Hinweis an Mandantin:</w:t>
      </w:r>
      <w:r>
        <w:t xml:space="preserve"> Unternehmensinterne Vorbereitung (Datenraum-Einrichtung) sollte bis 01. Juni 2026 abgeschlossen sein.</w:t>
      </w:r>
    </w:p>
    <w:p/>
    <w:p>
      <w:pPr>
        <w:pStyle w:val="Heading2"/>
      </w:pPr>
      <w:r>
        <w:rPr>
          <w:rFonts w:ascii="Times New Roman" w:hAnsi="Times New Roman"/>
        </w:rPr>
        <w:t>6. Vertraulichkeit und Verwertbarkeit des Auditberichts</w:t>
      </w:r>
    </w:p>
    <w:p>
      <w:pPr>
        <w:jc w:val="left"/>
      </w:pPr>
      <w:r>
        <w:t>Der Auditbericht nach Art. 37 Abs. 4 DSA ist der Kommission und dem zuständigen DSC vorzulegen. Der Bericht enthält eine Stellungnahme über die Compliance und Empfehlungen zur Verbesserung. Öffentlich zugänglich wird der Bericht gemäß Art. 42 Abs. 4 DSA in einer nicht vertraulichen Zusammenfassung.</w:t>
      </w:r>
    </w:p>
    <w:p>
      <w:pPr>
        <w:jc w:val="left"/>
      </w:pPr>
      <w:r>
        <w:rPr>
          <w:b/>
        </w:rPr>
        <w:t>Empfehlung:</w:t>
      </w:r>
      <w:r>
        <w:t xml:space="preserve"> Vertragsklausel mit PwC aufnehmen, die klarstellt, welche Teile des Berichts als vertraulich einzustufen sind und welche an die Behörden weitergegeben werden.</w:t>
      </w:r>
    </w:p>
    <w:p/>
    <w:p>
      <w:pPr>
        <w:pStyle w:val="Heading2"/>
      </w:pPr>
      <w:r>
        <w:rPr>
          <w:rFonts w:ascii="Times New Roman" w:hAnsi="Times New Roman"/>
        </w:rPr>
        <w:t>7. Kosten und Abzugsfähigkeit</w:t>
      </w:r>
    </w:p>
    <w:p>
      <w:pPr>
        <w:jc w:val="left"/>
      </w:pPr>
      <w:r>
        <w:t>Die Auditkosten (ca. 380.000 EUR) sind als Betriebsausgaben steuerlich abzugsfähig und im Rahmen des Art. 43 DSA bei der Aufsichtsabgabe grundsätzlich nicht anrechenbar.</w:t>
      </w:r>
    </w:p>
    <w:p/>
    <w:p>
      <w:pPr>
        <w:pStyle w:val="Heading2"/>
      </w:pPr>
      <w:r>
        <w:rPr>
          <w:rFonts w:ascii="Times New Roman" w:hAnsi="Times New Roman"/>
        </w:rPr>
        <w:t>8. Rechtsgrundlagen</w:t>
      </w:r>
    </w:p>
    <w:p>
      <w:pPr>
        <w:pStyle w:val="ListBullet"/>
      </w:pPr>
      <w:r>
        <w:t>Art. 37 DSA (EU) 2022/2065 — Externer Audit</w:t>
      </w:r>
    </w:p>
    <w:p>
      <w:pPr>
        <w:pStyle w:val="ListBullet"/>
      </w:pPr>
      <w:r>
        <w:t>Art. 33 Abs. 6 DSA — Viermonatsfrist</w:t>
      </w:r>
    </w:p>
    <w:p>
      <w:pPr>
        <w:pStyle w:val="ListBullet"/>
      </w:pPr>
      <w:r>
        <w:t>Kommissionsleitlinien C(2025) 701 final — Anforderungen an Prüfer</w:t>
      </w:r>
    </w:p>
    <w:p>
      <w:pPr>
        <w:jc w:val="left"/>
      </w:pPr>
      <w:r>
        <w:rPr>
          <w:b/>
        </w:rPr>
        <w:t>Quellen:</w:t>
      </w:r>
    </w:p>
    <w:p>
      <w:pPr>
        <w:pStyle w:val="ListBullet"/>
      </w:pPr>
      <w:r>
        <w:t>Verordnung (EU) 2022/2065 (DSA), EUR-Lex: https://eur-lex.europa.eu/legal-content/DE/TXT/?uri=CELEX%3A32022R2065</w:t>
      </w:r>
    </w:p>
    <w:p/>
    <w:p>
      <w:pPr>
        <w:jc w:val="left"/>
      </w:pPr>
      <w:r>
        <w:rPr>
          <w:i/>
        </w:rPr>
        <w:t>Bearbeitung: RA Felix Wendland</w:t>
      </w:r>
    </w:p>
    <w:p>
      <w:pPr>
        <w:jc w:val="left"/>
      </w:pPr>
      <w:r>
        <w:rPr>
          <w:i/>
        </w:rPr>
        <w:t>Stand: 28. März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