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09 — Trusted Flagger nach Art. 22 DSA: Kooperationsabkommen</w:t>
      </w:r>
    </w:p>
    <w:p>
      <w:pPr>
        <w:jc w:val="left"/>
      </w:pPr>
      <w:r>
        <w:rPr>
          <w:b/>
        </w:rPr>
        <w:t>Az. Kanzlei:</w:t>
      </w:r>
      <w:r>
        <w:t xml:space="preserve"> KRS-2026-0318-DSA</w:t>
      </w:r>
    </w:p>
    <w:p>
      <w:pPr>
        <w:jc w:val="left"/>
      </w:pPr>
      <w:r>
        <w:rPr>
          <w:b/>
        </w:rPr>
        <w:t>Bearbeitung:</w:t>
      </w:r>
      <w:r>
        <w:t xml:space="preserve"> RAin Dr. Philippa Groth-Steinberg</w:t>
      </w:r>
    </w:p>
    <w:p>
      <w:pPr>
        <w:jc w:val="left"/>
      </w:pPr>
      <w:r>
        <w:rPr>
          <w:b/>
        </w:rPr>
        <w:t>Stand:</w:t>
      </w:r>
      <w:r>
        <w:t xml:space="preserve"> 02. April 2026</w:t>
      </w:r>
    </w:p>
    <w:p/>
    <w:p>
      <w:pPr>
        <w:pStyle w:val="Heading2"/>
      </w:pPr>
      <w:r>
        <w:rPr>
          <w:rFonts w:ascii="Times New Roman" w:hAnsi="Times New Roman"/>
        </w:rPr>
        <w:t>1. Normgrundlage</w:t>
      </w:r>
    </w:p>
    <w:p>
      <w:pPr>
        <w:jc w:val="left"/>
      </w:pPr>
      <w:r>
        <w:t>Art. 22 DSA schafft das Institut des Trusted Flaggers (vertrauenswürdiger Hinweisgeber). Organisationen, die besondere Sachkunde in der Erkennung illegaler Inhalte besitzen, können beim zuständigen DSC (hier: BNetzA) als Trusted Flagger anerkannt werden. Meldungen von Trusted Flaggern sind von VLOPs vorrangig zu bearbeiten.</w:t>
      </w:r>
    </w:p>
    <w:p/>
    <w:p>
      <w:pPr>
        <w:pStyle w:val="Heading2"/>
      </w:pPr>
      <w:r>
        <w:rPr>
          <w:rFonts w:ascii="Times New Roman" w:hAnsi="Times New Roman"/>
        </w:rPr>
        <w:t>2. Anforderungen an Trusted Flagger (Art. 22 Abs. 2 DSA)</w:t>
      </w:r>
    </w:p>
    <w:p>
      <w:pPr>
        <w:jc w:val="left"/>
      </w:pPr>
      <w:r>
        <w:t>Ein Trusted Flagger muss:</w:t>
      </w:r>
    </w:p>
    <w:p>
      <w:pPr>
        <w:pStyle w:val="ListBullet"/>
      </w:pPr>
      <w:r>
        <w:t>über spezifische Sachkunde und Kompetenz verfügen</w:t>
      </w:r>
    </w:p>
    <w:p>
      <w:pPr>
        <w:pStyle w:val="ListBullet"/>
      </w:pPr>
      <w:r>
        <w:t>von den betreffenden Diensteanbietern unabhängig sein</w:t>
      </w:r>
    </w:p>
    <w:p>
      <w:pPr>
        <w:pStyle w:val="ListBullet"/>
      </w:pPr>
      <w:r>
        <w:t>seine Tätigkeiten zeitnah, sorgfältig und sachlich ausführen</w:t>
      </w:r>
    </w:p>
    <w:p>
      <w:pPr>
        <w:jc w:val="left"/>
      </w:pPr>
      <w:r>
        <w:t>Die Anerkennung erfolgt durch den DSC auf Antrag der Organisation. Die BNetzA hat bislang folgende Organisationen als Trusted Flagger für Deutschland anerkannt (Stand März 2026):</w:t>
      </w:r>
    </w:p>
    <w:p>
      <w:pPr>
        <w:pStyle w:val="ListBullet"/>
      </w:pPr>
      <w:r>
        <w:t>Deutsche Hass-Stopp e.V. (Hassrede)</w:t>
      </w:r>
    </w:p>
    <w:p>
      <w:pPr>
        <w:pStyle w:val="ListBullet"/>
      </w:pPr>
      <w:r>
        <w:t>Jugendschutz.net (Inhalte, die Minderjährige gefährden)</w:t>
      </w:r>
    </w:p>
    <w:p>
      <w:pPr>
        <w:pStyle w:val="ListBullet"/>
      </w:pPr>
      <w:r>
        <w:t>eco — Verband der Internetwirtschaft e.V. (CSAM, Kinderpornographie)</w:t>
      </w:r>
    </w:p>
    <w:p/>
    <w:p>
      <w:pPr>
        <w:pStyle w:val="Heading2"/>
      </w:pPr>
      <w:r>
        <w:rPr>
          <w:rFonts w:ascii="Times New Roman" w:hAnsi="Times New Roman"/>
        </w:rPr>
        <w:t>3. Kooperationsanfrage Deutsche Hass-Stopp e.V.</w:t>
      </w:r>
    </w:p>
    <w:p>
      <w:pPr>
        <w:jc w:val="left"/>
      </w:pPr>
      <w:r>
        <w:t xml:space="preserve">Am 12. April 2026 hat die Deutsche Hass-Stopp e.V. (anerkannter Trusted Flagger) eine Kooperationsanfrage an Halmweise.de gestellt (vgl. EML </w:t>
      </w:r>
      <w:r>
        <w:t>emails/2026-04-12_trusted_flagger_kooperationsanfrage.eml</w:t>
      </w:r>
      <w:r>
        <w:t>). Die Anfrage sieht folgendes Kooperationsmodell vor:</w:t>
      </w:r>
    </w:p>
    <w:p>
      <w:pPr>
        <w:pStyle w:val="ListBullet"/>
      </w:pPr>
      <w:r>
        <w:t>Dedicated API-Schnittstelle für Meldungen (maschinenlesbar)</w:t>
      </w:r>
    </w:p>
    <w:p>
      <w:pPr>
        <w:pStyle w:val="ListBullet"/>
      </w:pPr>
      <w:r>
        <w:t>Garantierte Bearbeitungszeit von max. 2 Werktagen für TF-Meldungen</w:t>
      </w:r>
    </w:p>
    <w:p>
      <w:pPr>
        <w:pStyle w:val="ListBullet"/>
      </w:pPr>
      <w:r>
        <w:t>Monatlicher Austausch über Meldetrends</w:t>
      </w:r>
    </w:p>
    <w:p>
      <w:pPr>
        <w:pStyle w:val="ListBullet"/>
      </w:pPr>
      <w:r>
        <w:t>Gemeinsame Schulungen der Trust &amp; Safety Teams</w:t>
      </w:r>
    </w:p>
    <w:p/>
    <w:p>
      <w:pPr>
        <w:pStyle w:val="Heading2"/>
      </w:pPr>
      <w:r>
        <w:rPr>
          <w:rFonts w:ascii="Times New Roman" w:hAnsi="Times New Roman"/>
        </w:rPr>
        <w:t>4. Pflichten des Anbieters bei Trusted-Flagger-Meldungen</w:t>
      </w:r>
    </w:p>
    <w:p>
      <w:pPr>
        <w:pStyle w:val="Heading3"/>
      </w:pPr>
      <w:r>
        <w:rPr>
          <w:rFonts w:ascii="Times New Roman" w:hAnsi="Times New Roman"/>
        </w:rPr>
        <w:t>4.1 Vorrangige Bearbeitung (Art. 22 Abs. 1 DSA)</w:t>
      </w:r>
    </w:p>
    <w:p>
      <w:pPr>
        <w:jc w:val="left"/>
      </w:pPr>
      <w:r>
        <w:t>VLOPs müssen Meldungen von Trusted Flaggern vorrangig behandeln. Dies bedeutet strukturell kürzere Bearbeitungszeiten als bei Standardmeldungen. Empfohlene SLA: max. 24 Stunden für TF-Meldungen.</w:t>
      </w:r>
    </w:p>
    <w:p>
      <w:pPr>
        <w:pStyle w:val="Heading3"/>
      </w:pPr>
      <w:r>
        <w:rPr>
          <w:rFonts w:ascii="Times New Roman" w:hAnsi="Times New Roman"/>
        </w:rPr>
        <w:t>4.2 Keine automatische Entfernung</w:t>
      </w:r>
    </w:p>
    <w:p>
      <w:pPr>
        <w:jc w:val="left"/>
      </w:pPr>
      <w:r>
        <w:t>Art. 22 DSA begründet keine Automatik. Meldungen von TF müssen inhaltlich geprüft werden; eine automatische Entfernung allein aufgrund einer TF-Meldung ist unzulässig und würde die Nutzungsrechte des Inhaltserstellers verletzen.</w:t>
      </w:r>
    </w:p>
    <w:p>
      <w:pPr>
        <w:pStyle w:val="Heading3"/>
      </w:pPr>
      <w:r>
        <w:rPr>
          <w:rFonts w:ascii="Times New Roman" w:hAnsi="Times New Roman"/>
        </w:rPr>
        <w:t>4.3 Statistikpflichten</w:t>
      </w:r>
    </w:p>
    <w:p>
      <w:pPr>
        <w:jc w:val="left"/>
      </w:pPr>
      <w:r>
        <w:t>Art. 42 Abs. 2 DSA verlangt im VLOP-Transparenzbericht Angaben über:</w:t>
      </w:r>
    </w:p>
    <w:p>
      <w:pPr>
        <w:pStyle w:val="ListBullet"/>
      </w:pPr>
      <w:r>
        <w:t>Anzahl erhaltener TF-Meldungen</w:t>
      </w:r>
    </w:p>
    <w:p>
      <w:pPr>
        <w:pStyle w:val="ListBullet"/>
      </w:pPr>
      <w:r>
        <w:t>Anzahl ergriffener Maßnahmen auf Basis von TF-Meldungen</w:t>
      </w:r>
    </w:p>
    <w:p>
      <w:pPr>
        <w:pStyle w:val="ListBullet"/>
      </w:pPr>
      <w:r>
        <w:t>Medianer Bearbeitungszeitraum für TF-Meldungen</w:t>
      </w:r>
    </w:p>
    <w:p/>
    <w:p>
      <w:pPr>
        <w:pStyle w:val="Heading2"/>
      </w:pPr>
      <w:r>
        <w:rPr>
          <w:rFonts w:ascii="Times New Roman" w:hAnsi="Times New Roman"/>
        </w:rPr>
        <w:t>5. Entwurf Kooperationsvertrag</w:t>
      </w:r>
    </w:p>
    <w:p>
      <w:pPr>
        <w:jc w:val="left"/>
      </w:pPr>
      <w:r>
        <w:t>Folgende Eckpunkte für den Kooperationsvertrag mit Deutsche Hass-Stopp e.V. werden vorgeschlagen: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Parteien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Körnerstrom Social GmbH und Deutsche Hass-Stopp e.V.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 Jahre, mit automatischer Verlängerung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Kündigungsfrist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Monate zum Jahresende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API-Zugang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Dedizierter Endpunkt, standardisiertes JSON-Format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SLA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 Stunden Bearbeitungszeit für TF-Meldungen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Rückmeldung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Automatisierte Statusmeldung nach Bearbeitung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Gemeinsame Verantwortlichkeit nach Art. 26 DSGVO, soweit personenbezogene Daten ausgetauscht werden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Vertraulichkeit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Meldetrends können aggregiert veröffentlicht werden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Haftung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Haftungsausschluss für Meldefehler seitens TF; Körnerstrom haftet für fehlerhafte Entscheidungen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Streitbeilegung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Deutsches Recht, Berlin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Weitere Trusted Flagger — Empfehlungen</w:t>
      </w:r>
    </w:p>
    <w:p>
      <w:pPr>
        <w:jc w:val="left"/>
      </w:pPr>
      <w:r>
        <w:t>Über Deutsche Hass-Stopp e.V. hinaus wird empfohlen, Kooperationsvereinbarungen mit folgenden anerkannten TF abzuschließen:</w:t>
      </w:r>
    </w:p>
    <w:p>
      <w:pPr>
        <w:pStyle w:val="ListBullet"/>
      </w:pPr>
      <w:r>
        <w:rPr>
          <w:b/>
        </w:rPr>
        <w:t>Jugendschutz.net</w:t>
      </w:r>
      <w:r>
        <w:t xml:space="preserve"> — relevant für Minderjährigenschutz-Fälle</w:t>
      </w:r>
    </w:p>
    <w:p>
      <w:pPr>
        <w:pStyle w:val="ListBullet"/>
      </w:pPr>
      <w:r>
        <w:rPr>
          <w:b/>
        </w:rPr>
        <w:t>eco e.V.</w:t>
      </w:r>
      <w:r>
        <w:t xml:space="preserve"> — relevant für CSAM (Child Sexual Abuse Material)</w:t>
      </w:r>
    </w:p>
    <w:p/>
    <w:p>
      <w:pPr>
        <w:pStyle w:val="Heading2"/>
      </w:pPr>
      <w:r>
        <w:rPr>
          <w:rFonts w:ascii="Times New Roman" w:hAnsi="Times New Roman"/>
        </w:rPr>
        <w:t>7. Abgrenzung: Meldestelle nach Art. 20 DSA</w:t>
      </w:r>
    </w:p>
    <w:p>
      <w:pPr>
        <w:jc w:val="left"/>
      </w:pPr>
      <w:r>
        <w:t>Art. 20 DSA verpflichtet VLOPs zur Einrichtung einer internen Beschwerdestelle für Nutzer, die Entscheidungen anfechten wollen. Diese interne Beschwerdestelle ist von der Trusted-Flagger-Zusammenarbeit (Art. 22 DSA) zu unterscheiden: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Art. 20 DSA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Art. 22 DSA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Betroffene Nutzer (Inhaltsersteller)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Externe akkreditierte Organisationen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Zweck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 von Moderationsentscheidungen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Erstmeldung mutmaßlich illegaler Inhalte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Standardmäßig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Vorrangig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8. Rechtsgrundlagen</w:t>
      </w:r>
    </w:p>
    <w:p>
      <w:pPr>
        <w:pStyle w:val="ListBullet"/>
      </w:pPr>
      <w:r>
        <w:t>Art. 22 DSA (EU) 2022/2065 — Trusted Flagger</w:t>
      </w:r>
    </w:p>
    <w:p>
      <w:pPr>
        <w:pStyle w:val="ListBullet"/>
      </w:pPr>
      <w:r>
        <w:t>Art. 20 DSA — Interne Beschwerdestelle</w:t>
      </w:r>
    </w:p>
    <w:p>
      <w:pPr>
        <w:pStyle w:val="ListBullet"/>
      </w:pPr>
      <w:r>
        <w:t>Art. 26 DSGVO (EU) 2016/679 — Gemeinsame Verantwortlichkeit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Verordnung (EU) 2022/2065 (DSA), EUR-Lex: https://eur-lex.europa.eu/legal-content/DE/TXT/?uri=CELEX%3A32022R2065</w:t>
      </w:r>
    </w:p>
    <w:p/>
    <w:p>
      <w:pPr>
        <w:jc w:val="left"/>
      </w:pPr>
      <w:r>
        <w:rPr>
          <w:i/>
        </w:rPr>
        <w:t>Bearbeiterin: RAin Dr. Philippa Groth-Steinberg</w:t>
      </w:r>
    </w:p>
    <w:p>
      <w:pPr>
        <w:jc w:val="left"/>
      </w:pPr>
      <w:r>
        <w:rPr>
          <w:i/>
        </w:rPr>
        <w:t>Stand: 02. April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