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11 — Werbeanzeigen-Repository nach Art. 39 DSA: Lückenanalyse</w:t>
      </w:r>
    </w:p>
    <w:p>
      <w:pPr>
        <w:jc w:val="left"/>
      </w:pPr>
      <w:r>
        <w:rPr>
          <w:b/>
        </w:rPr>
        <w:t>Az. Kanzlei:</w:t>
      </w:r>
      <w:r>
        <w:t xml:space="preserve"> KRS-2026-0318-DSA</w:t>
      </w:r>
    </w:p>
    <w:p>
      <w:pPr>
        <w:jc w:val="left"/>
      </w:pPr>
      <w:r>
        <w:rPr>
          <w:b/>
        </w:rPr>
        <w:t>Bearbeitung:</w:t>
      </w:r>
      <w:r>
        <w:t xml:space="preserve"> RA Felix Wendland</w:t>
      </w:r>
    </w:p>
    <w:p>
      <w:pPr>
        <w:jc w:val="left"/>
      </w:pPr>
      <w:r>
        <w:rPr>
          <w:b/>
        </w:rPr>
        <w:t>Stand:</w:t>
      </w:r>
      <w:r>
        <w:t xml:space="preserve"> 07. April 2026</w:t>
      </w:r>
    </w:p>
    <w:p/>
    <w:p>
      <w:pPr>
        <w:pStyle w:val="Heading2"/>
      </w:pPr>
      <w:r>
        <w:rPr>
          <w:rFonts w:ascii="Times New Roman" w:hAnsi="Times New Roman"/>
        </w:rPr>
        <w:t>1. Normgrundlage</w:t>
      </w:r>
    </w:p>
    <w:p>
      <w:pPr>
        <w:jc w:val="left"/>
      </w:pPr>
      <w:r>
        <w:t>Art. 39 DSA verpflichtet VLOPs und sehr große Online-Suchmaschinen (VLOSE), eine durchsuchbare Datenbank (Repository) aller auf der Plattform angezeigten Werbeanzeigen bereitzustellen und diese für mindestens ein Jahr nach der letzten Anzeige zugänglich zu halten. Das Repository dient der Überwachbarkeit durch Behörden, Forscher und die Öffentlichkeit.</w:t>
      </w:r>
    </w:p>
    <w:p/>
    <w:p>
      <w:pPr>
        <w:pStyle w:val="Heading2"/>
      </w:pPr>
      <w:r>
        <w:rPr>
          <w:rFonts w:ascii="Times New Roman" w:hAnsi="Times New Roman"/>
        </w:rPr>
        <w:t>2. Pflichtinhalte des Repositories (Art. 39 Abs. 2 DSA)</w:t>
      </w:r>
    </w:p>
    <w:p>
      <w:pPr>
        <w:jc w:val="left"/>
      </w:pPr>
      <w:r>
        <w:t>Für jede Werbeanzeige sind folgende Daten zu dokumentieren: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Pflichtfeld</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Anzeigeninhalt</w:t>
            </w:r>
          </w:p>
        </w:tc>
        <w:tc>
          <w:tcPr>
            <w:tcW w:type="dxa" w:w="4536"/>
          </w:tcPr>
          <w:p>
            <w:r>
              <w:rPr>
                <w:rFonts w:ascii="Times New Roman" w:hAnsi="Times New Roman"/>
                <w:sz w:val="20"/>
              </w:rPr>
              <w:t>Text, Bild, Video der Anzeige</w:t>
            </w:r>
          </w:p>
        </w:tc>
      </w:tr>
      <w:tr>
        <w:tc>
          <w:tcPr>
            <w:tcW w:type="dxa" w:w="4536"/>
          </w:tcPr>
          <w:p>
            <w:r>
              <w:rPr>
                <w:rFonts w:ascii="Times New Roman" w:hAnsi="Times New Roman"/>
                <w:sz w:val="20"/>
              </w:rPr>
              <w:t>Werbetreibender</w:t>
            </w:r>
          </w:p>
        </w:tc>
        <w:tc>
          <w:tcPr>
            <w:tcW w:type="dxa" w:w="4536"/>
          </w:tcPr>
          <w:p>
            <w:r>
              <w:rPr>
                <w:rFonts w:ascii="Times New Roman" w:hAnsi="Times New Roman"/>
                <w:sz w:val="20"/>
              </w:rPr>
              <w:t>Name und Kontaktdaten</w:t>
            </w:r>
          </w:p>
        </w:tc>
      </w:tr>
      <w:tr>
        <w:tc>
          <w:tcPr>
            <w:tcW w:type="dxa" w:w="4536"/>
          </w:tcPr>
          <w:p>
            <w:r>
              <w:rPr>
                <w:rFonts w:ascii="Times New Roman" w:hAnsi="Times New Roman"/>
                <w:sz w:val="20"/>
              </w:rPr>
              <w:t>Zeitraum der Ausspielung</w:t>
            </w:r>
          </w:p>
        </w:tc>
        <w:tc>
          <w:tcPr>
            <w:tcW w:type="dxa" w:w="4536"/>
          </w:tcPr>
          <w:p>
            <w:r>
              <w:rPr>
                <w:rFonts w:ascii="Times New Roman" w:hAnsi="Times New Roman"/>
                <w:sz w:val="20"/>
              </w:rPr>
              <w:t>Von/bis Datum</w:t>
            </w:r>
          </w:p>
        </w:tc>
      </w:tr>
      <w:tr>
        <w:tc>
          <w:tcPr>
            <w:tcW w:type="dxa" w:w="4536"/>
          </w:tcPr>
          <w:p>
            <w:r>
              <w:rPr>
                <w:rFonts w:ascii="Times New Roman" w:hAnsi="Times New Roman"/>
                <w:sz w:val="20"/>
              </w:rPr>
              <w:t>Targeting-Parameter</w:t>
            </w:r>
          </w:p>
        </w:tc>
        <w:tc>
          <w:tcPr>
            <w:tcW w:type="dxa" w:w="4536"/>
          </w:tcPr>
          <w:p>
            <w:r>
              <w:rPr>
                <w:rFonts w:ascii="Times New Roman" w:hAnsi="Times New Roman"/>
                <w:sz w:val="20"/>
              </w:rPr>
              <w:t>Demographische und sonstige Parameter, die zur Ausspielung geführt haben</w:t>
            </w:r>
          </w:p>
        </w:tc>
      </w:tr>
      <w:tr>
        <w:tc>
          <w:tcPr>
            <w:tcW w:type="dxa" w:w="4536"/>
          </w:tcPr>
          <w:p>
            <w:r>
              <w:rPr>
                <w:rFonts w:ascii="Times New Roman" w:hAnsi="Times New Roman"/>
                <w:sz w:val="20"/>
              </w:rPr>
              <w:t>Anzahl der Empfänger</w:t>
            </w:r>
          </w:p>
        </w:tc>
        <w:tc>
          <w:tcPr>
            <w:tcW w:type="dxa" w:w="4536"/>
          </w:tcPr>
          <w:p>
            <w:r>
              <w:rPr>
                <w:rFonts w:ascii="Times New Roman" w:hAnsi="Times New Roman"/>
                <w:sz w:val="20"/>
              </w:rPr>
              <w:t>Aufgeschlüsselt nach Mitgliedstaaten</w:t>
            </w:r>
          </w:p>
        </w:tc>
      </w:tr>
      <w:tr>
        <w:tc>
          <w:tcPr>
            <w:tcW w:type="dxa" w:w="4536"/>
          </w:tcPr>
          <w:p>
            <w:r>
              <w:rPr>
                <w:rFonts w:ascii="Times New Roman" w:hAnsi="Times New Roman"/>
                <w:sz w:val="20"/>
              </w:rPr>
              <w:t>Zahlender Auftraggeber</w:t>
            </w:r>
          </w:p>
        </w:tc>
        <w:tc>
          <w:tcPr>
            <w:tcW w:type="dxa" w:w="4536"/>
          </w:tcPr>
          <w:p>
            <w:r>
              <w:rPr>
                <w:rFonts w:ascii="Times New Roman" w:hAnsi="Times New Roman"/>
                <w:sz w:val="20"/>
              </w:rPr>
              <w:t>Sofern abweichend vom Werbetreibenden</w:t>
            </w:r>
          </w:p>
        </w:tc>
      </w:tr>
    </w:tbl>
    <w:p/>
    <w:p>
      <w:pPr>
        <w:pStyle w:val="Heading2"/>
      </w:pPr>
      <w:r>
        <w:rPr>
          <w:rFonts w:ascii="Times New Roman" w:hAnsi="Times New Roman"/>
        </w:rPr>
        <w:t>3. Lückenanalyse</w:t>
      </w:r>
    </w:p>
    <w:p>
      <w:pPr>
        <w:jc w:val="left"/>
      </w:pPr>
      <w:r>
        <w:t>Körnerstrom Social GmbH betreibt das Repository seit Oktober 2024. Eine interne Revision vom 25. März 2026 hat folgende Lücken identifiziert:</w:t>
      </w:r>
    </w:p>
    <w:p>
      <w:pPr>
        <w:pStyle w:val="Heading3"/>
      </w:pPr>
      <w:r>
        <w:rPr>
          <w:rFonts w:ascii="Times New Roman" w:hAnsi="Times New Roman"/>
        </w:rPr>
        <w:t>3.1 Zeitliche Lücken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Art der Lücke</w:t>
            </w:r>
          </w:p>
        </w:tc>
        <w:tc>
          <w:tcPr>
            <w:tcW w:type="dxa" w:w="3024"/>
          </w:tcPr>
          <w:p>
            <w:r>
              <w:rPr>
                <w:rFonts w:ascii="Times New Roman" w:hAnsi="Times New Roman"/>
                <w:b/>
                <w:sz w:val="20"/>
              </w:rPr>
              <w:t>Betroffene Anzeigen (geschätzt)</w:t>
            </w:r>
          </w:p>
        </w:tc>
      </w:tr>
      <w:tr>
        <w:tc>
          <w:tcPr>
            <w:tcW w:type="dxa" w:w="3024"/>
          </w:tcPr>
          <w:p>
            <w:r>
              <w:rPr>
                <w:rFonts w:ascii="Times New Roman" w:hAnsi="Times New Roman"/>
                <w:sz w:val="20"/>
              </w:rPr>
              <w:t>Januar 2025</w:t>
            </w:r>
          </w:p>
        </w:tc>
        <w:tc>
          <w:tcPr>
            <w:tcW w:type="dxa" w:w="3024"/>
          </w:tcPr>
          <w:p>
            <w:r>
              <w:rPr>
                <w:rFonts w:ascii="Times New Roman" w:hAnsi="Times New Roman"/>
                <w:sz w:val="20"/>
              </w:rPr>
              <w:t>Vollständiger Datenausfall (Server-Migration)</w:t>
            </w:r>
          </w:p>
        </w:tc>
        <w:tc>
          <w:tcPr>
            <w:tcW w:type="dxa" w:w="3024"/>
          </w:tcPr>
          <w:p>
            <w:r>
              <w:rPr>
                <w:rFonts w:ascii="Times New Roman" w:hAnsi="Times New Roman"/>
                <w:sz w:val="20"/>
              </w:rPr>
              <w:t>ca. 18.000</w:t>
            </w:r>
          </w:p>
        </w:tc>
      </w:tr>
      <w:tr>
        <w:tc>
          <w:tcPr>
            <w:tcW w:type="dxa" w:w="3024"/>
          </w:tcPr>
          <w:p>
            <w:r>
              <w:rPr>
                <w:rFonts w:ascii="Times New Roman" w:hAnsi="Times New Roman"/>
                <w:sz w:val="20"/>
              </w:rPr>
              <w:t>Februar 2025</w:t>
            </w:r>
          </w:p>
        </w:tc>
        <w:tc>
          <w:tcPr>
            <w:tcW w:type="dxa" w:w="3024"/>
          </w:tcPr>
          <w:p>
            <w:r>
              <w:rPr>
                <w:rFonts w:ascii="Times New Roman" w:hAnsi="Times New Roman"/>
                <w:sz w:val="20"/>
              </w:rPr>
              <w:t>Lückenhafte Targeting-Parameter (70% der Einträge)</w:t>
            </w:r>
          </w:p>
        </w:tc>
        <w:tc>
          <w:tcPr>
            <w:tcW w:type="dxa" w:w="3024"/>
          </w:tcPr>
          <w:p>
            <w:r>
              <w:rPr>
                <w:rFonts w:ascii="Times New Roman" w:hAnsi="Times New Roman"/>
                <w:sz w:val="20"/>
              </w:rPr>
              <w:t>ca. 14.000</w:t>
            </w:r>
          </w:p>
        </w:tc>
      </w:tr>
      <w:tr>
        <w:tc>
          <w:tcPr>
            <w:tcW w:type="dxa" w:w="3024"/>
          </w:tcPr>
          <w:p>
            <w:r>
              <w:rPr>
                <w:rFonts w:ascii="Times New Roman" w:hAnsi="Times New Roman"/>
                <w:sz w:val="20"/>
              </w:rPr>
              <w:t>März–Juli 2025</w:t>
            </w:r>
          </w:p>
        </w:tc>
        <w:tc>
          <w:tcPr>
            <w:tcW w:type="dxa" w:w="3024"/>
          </w:tcPr>
          <w:p>
            <w:r>
              <w:rPr>
                <w:rFonts w:ascii="Times New Roman" w:hAnsi="Times New Roman"/>
                <w:sz w:val="20"/>
              </w:rPr>
              <w:t>Fehlende "Anzahl Empfänger per Mitgliedstaat"</w:t>
            </w:r>
          </w:p>
        </w:tc>
        <w:tc>
          <w:tcPr>
            <w:tcW w:type="dxa" w:w="3024"/>
          </w:tcPr>
          <w:p>
            <w:r>
              <w:rPr>
                <w:rFonts w:ascii="Times New Roman" w:hAnsi="Times New Roman"/>
                <w:sz w:val="20"/>
              </w:rPr>
              <w:t>ca. 85.000</w:t>
            </w:r>
          </w:p>
        </w:tc>
      </w:tr>
      <w:tr>
        <w:tc>
          <w:tcPr>
            <w:tcW w:type="dxa" w:w="3024"/>
          </w:tcPr>
          <w:p>
            <w:r>
              <w:rPr>
                <w:rFonts w:ascii="Times New Roman" w:hAnsi="Times New Roman"/>
                <w:sz w:val="20"/>
              </w:rPr>
              <w:t>August–September 2025</w:t>
            </w:r>
          </w:p>
        </w:tc>
        <w:tc>
          <w:tcPr>
            <w:tcW w:type="dxa" w:w="3024"/>
          </w:tcPr>
          <w:p>
            <w:r>
              <w:rPr>
                <w:rFonts w:ascii="Times New Roman" w:hAnsi="Times New Roman"/>
                <w:sz w:val="20"/>
              </w:rPr>
              <w:t>Fehlende Angaben zum zahlenden Auftraggeber bei 12% der Anzeigen</w:t>
            </w:r>
          </w:p>
        </w:tc>
        <w:tc>
          <w:tcPr>
            <w:tcW w:type="dxa" w:w="3024"/>
          </w:tcPr>
          <w:p>
            <w:r>
              <w:rPr>
                <w:rFonts w:ascii="Times New Roman" w:hAnsi="Times New Roman"/>
                <w:sz w:val="20"/>
              </w:rPr>
              <w:t>ca. 9.000</w:t>
            </w:r>
          </w:p>
        </w:tc>
      </w:tr>
    </w:tbl>
    <w:p>
      <w:pPr>
        <w:pStyle w:val="Heading3"/>
      </w:pPr>
      <w:r>
        <w:rPr>
          <w:rFonts w:ascii="Times New Roman" w:hAnsi="Times New Roman"/>
        </w:rPr>
        <w:t>3.2 Inhaltliche Lücken</w:t>
      </w:r>
    </w:p>
    <w:p>
      <w:pPr>
        <w:pStyle w:val="ListBullet"/>
      </w:pPr>
      <w:r>
        <w:rPr>
          <w:b/>
        </w:rPr>
        <w:t>Targeting-Parameter-Vollständigkeit:</w:t>
      </w:r>
      <w:r>
        <w:t xml:space="preserve"> In 23% der Einträge (Stand: Audit März 2026) fehlen vollständige Targeting-Parameter; insbesondere verhaltensbasiertes Retargeting ist nicht immer dokumentiert.</w:t>
      </w:r>
    </w:p>
    <w:p>
      <w:pPr>
        <w:pStyle w:val="ListBullet"/>
      </w:pPr>
      <w:r>
        <w:rPr>
          <w:b/>
        </w:rPr>
        <w:t>Mehrsprachige Anzeigen:</w:t>
      </w:r>
      <w:r>
        <w:t xml:space="preserve"> Anzeigen, die in mehreren Sprachen ausgespielt wurden, sind nur in der Standardsprache gespeichert.</w:t>
      </w:r>
    </w:p>
    <w:p>
      <w:pPr>
        <w:pStyle w:val="ListBullet"/>
      </w:pPr>
      <w:r>
        <w:rPr>
          <w:b/>
        </w:rPr>
        <w:t>Video-Anzeigen:</w:t>
      </w:r>
      <w:r>
        <w:t xml:space="preserve"> Das Repository enthält nur Thumbnail-Screenshots, keine vollständigen Videodateien (Video-Format noch nicht implementiert).</w:t>
      </w:r>
    </w:p>
    <w:p/>
    <w:p>
      <w:pPr>
        <w:pStyle w:val="Heading2"/>
      </w:pPr>
      <w:r>
        <w:rPr>
          <w:rFonts w:ascii="Times New Roman" w:hAnsi="Times New Roman"/>
        </w:rPr>
        <w:t>4. Rückfüllungsplan</w:t>
      </w:r>
    </w:p>
    <w:p>
      <w:pPr>
        <w:jc w:val="left"/>
      </w:pPr>
      <w:r>
        <w:t>Zur Schließung der identifizierten Lücken wird folgender Rückfüllungsplan vorgeschlagen: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Priorität</w:t>
            </w:r>
          </w:p>
        </w:tc>
        <w:tc>
          <w:tcPr>
            <w:tcW w:type="dxa" w:w="3024"/>
          </w:tcPr>
          <w:p>
            <w:r>
              <w:rPr>
                <w:rFonts w:ascii="Times New Roman" w:hAnsi="Times New Roman"/>
                <w:b/>
                <w:sz w:val="20"/>
              </w:rPr>
              <w:t>Frist</w:t>
            </w:r>
          </w:p>
        </w:tc>
      </w:tr>
      <w:tr>
        <w:tc>
          <w:tcPr>
            <w:tcW w:type="dxa" w:w="3024"/>
          </w:tcPr>
          <w:p>
            <w:r>
              <w:rPr>
                <w:rFonts w:ascii="Times New Roman" w:hAnsi="Times New Roman"/>
                <w:sz w:val="20"/>
              </w:rPr>
              <w:t>Rekonstruktion Januar 2025 aus Backup-Logs</w:t>
            </w:r>
          </w:p>
        </w:tc>
        <w:tc>
          <w:tcPr>
            <w:tcW w:type="dxa" w:w="3024"/>
          </w:tcPr>
          <w:p>
            <w:r>
              <w:rPr>
                <w:rFonts w:ascii="Times New Roman" w:hAnsi="Times New Roman"/>
                <w:sz w:val="20"/>
              </w:rPr>
              <w:t>Hoch</w:t>
            </w:r>
          </w:p>
        </w:tc>
        <w:tc>
          <w:tcPr>
            <w:tcW w:type="dxa" w:w="3024"/>
          </w:tcPr>
          <w:p>
            <w:r>
              <w:rPr>
                <w:rFonts w:ascii="Times New Roman" w:hAnsi="Times New Roman"/>
                <w:sz w:val="20"/>
              </w:rPr>
              <w:t>30.04.2026</w:t>
            </w:r>
          </w:p>
        </w:tc>
      </w:tr>
      <w:tr>
        <w:tc>
          <w:tcPr>
            <w:tcW w:type="dxa" w:w="3024"/>
          </w:tcPr>
          <w:p>
            <w:r>
              <w:rPr>
                <w:rFonts w:ascii="Times New Roman" w:hAnsi="Times New Roman"/>
                <w:sz w:val="20"/>
              </w:rPr>
              <w:t>Nachpflege Targeting-Parameter Feb. 2025</w:t>
            </w:r>
          </w:p>
        </w:tc>
        <w:tc>
          <w:tcPr>
            <w:tcW w:type="dxa" w:w="3024"/>
          </w:tcPr>
          <w:p>
            <w:r>
              <w:rPr>
                <w:rFonts w:ascii="Times New Roman" w:hAnsi="Times New Roman"/>
                <w:sz w:val="20"/>
              </w:rPr>
              <w:t>Hoch</w:t>
            </w:r>
          </w:p>
        </w:tc>
        <w:tc>
          <w:tcPr>
            <w:tcW w:type="dxa" w:w="3024"/>
          </w:tcPr>
          <w:p>
            <w:r>
              <w:rPr>
                <w:rFonts w:ascii="Times New Roman" w:hAnsi="Times New Roman"/>
                <w:sz w:val="20"/>
              </w:rPr>
              <w:t>30.04.2026</w:t>
            </w:r>
          </w:p>
        </w:tc>
      </w:tr>
      <w:tr>
        <w:tc>
          <w:tcPr>
            <w:tcW w:type="dxa" w:w="3024"/>
          </w:tcPr>
          <w:p>
            <w:r>
              <w:rPr>
                <w:rFonts w:ascii="Times New Roman" w:hAnsi="Times New Roman"/>
                <w:sz w:val="20"/>
              </w:rPr>
              <w:t>Nachpflege "Empfänger per Mitgliedstaat" (März–Juli 2025)</w:t>
            </w:r>
          </w:p>
        </w:tc>
        <w:tc>
          <w:tcPr>
            <w:tcW w:type="dxa" w:w="3024"/>
          </w:tcPr>
          <w:p>
            <w:r>
              <w:rPr>
                <w:rFonts w:ascii="Times New Roman" w:hAnsi="Times New Roman"/>
                <w:sz w:val="20"/>
              </w:rPr>
              <w:t>Mittel</w:t>
            </w:r>
          </w:p>
        </w:tc>
        <w:tc>
          <w:tcPr>
            <w:tcW w:type="dxa" w:w="3024"/>
          </w:tcPr>
          <w:p>
            <w:r>
              <w:rPr>
                <w:rFonts w:ascii="Times New Roman" w:hAnsi="Times New Roman"/>
                <w:sz w:val="20"/>
              </w:rPr>
              <w:t>15.05.2026</w:t>
            </w:r>
          </w:p>
        </w:tc>
      </w:tr>
      <w:tr>
        <w:tc>
          <w:tcPr>
            <w:tcW w:type="dxa" w:w="3024"/>
          </w:tcPr>
          <w:p>
            <w:r>
              <w:rPr>
                <w:rFonts w:ascii="Times New Roman" w:hAnsi="Times New Roman"/>
                <w:sz w:val="20"/>
              </w:rPr>
              <w:t>Nachpflege Auftraggeber-Angaben (Aug.–Sept. 2025)</w:t>
            </w:r>
          </w:p>
        </w:tc>
        <w:tc>
          <w:tcPr>
            <w:tcW w:type="dxa" w:w="3024"/>
          </w:tcPr>
          <w:p>
            <w:r>
              <w:rPr>
                <w:rFonts w:ascii="Times New Roman" w:hAnsi="Times New Roman"/>
                <w:sz w:val="20"/>
              </w:rPr>
              <w:t>Mittel</w:t>
            </w:r>
          </w:p>
        </w:tc>
        <w:tc>
          <w:tcPr>
            <w:tcW w:type="dxa" w:w="3024"/>
          </w:tcPr>
          <w:p>
            <w:r>
              <w:rPr>
                <w:rFonts w:ascii="Times New Roman" w:hAnsi="Times New Roman"/>
                <w:sz w:val="20"/>
              </w:rPr>
              <w:t>15.05.2026</w:t>
            </w:r>
          </w:p>
        </w:tc>
      </w:tr>
      <w:tr>
        <w:tc>
          <w:tcPr>
            <w:tcW w:type="dxa" w:w="3024"/>
          </w:tcPr>
          <w:p>
            <w:r>
              <w:rPr>
                <w:rFonts w:ascii="Times New Roman" w:hAnsi="Times New Roman"/>
                <w:sz w:val="20"/>
              </w:rPr>
              <w:t>Implementierung Video-Format im Repository</w:t>
            </w:r>
          </w:p>
        </w:tc>
        <w:tc>
          <w:tcPr>
            <w:tcW w:type="dxa" w:w="3024"/>
          </w:tcPr>
          <w:p>
            <w:r>
              <w:rPr>
                <w:rFonts w:ascii="Times New Roman" w:hAnsi="Times New Roman"/>
                <w:sz w:val="20"/>
              </w:rPr>
              <w:t>Niedrig</w:t>
            </w:r>
          </w:p>
        </w:tc>
        <w:tc>
          <w:tcPr>
            <w:tcW w:type="dxa" w:w="3024"/>
          </w:tcPr>
          <w:p>
            <w:r>
              <w:rPr>
                <w:rFonts w:ascii="Times New Roman" w:hAnsi="Times New Roman"/>
                <w:sz w:val="20"/>
              </w:rPr>
              <w:t>15.06.2026</w:t>
            </w:r>
          </w:p>
        </w:tc>
      </w:tr>
      <w:tr>
        <w:tc>
          <w:tcPr>
            <w:tcW w:type="dxa" w:w="3024"/>
          </w:tcPr>
          <w:p>
            <w:r>
              <w:rPr>
                <w:rFonts w:ascii="Times New Roman" w:hAnsi="Times New Roman"/>
                <w:sz w:val="20"/>
              </w:rPr>
              <w:t>Automatisierte Vollständigkeitsprüfung (Monitoring)</w:t>
            </w:r>
          </w:p>
        </w:tc>
        <w:tc>
          <w:tcPr>
            <w:tcW w:type="dxa" w:w="3024"/>
          </w:tcPr>
          <w:p>
            <w:r>
              <w:rPr>
                <w:rFonts w:ascii="Times New Roman" w:hAnsi="Times New Roman"/>
                <w:sz w:val="20"/>
              </w:rPr>
              <w:t>Mittel</w:t>
            </w:r>
          </w:p>
        </w:tc>
        <w:tc>
          <w:tcPr>
            <w:tcW w:type="dxa" w:w="3024"/>
          </w:tcPr>
          <w:p>
            <w:r>
              <w:rPr>
                <w:rFonts w:ascii="Times New Roman" w:hAnsi="Times New Roman"/>
                <w:sz w:val="20"/>
              </w:rPr>
              <w:t>01.06.2026</w:t>
            </w:r>
          </w:p>
        </w:tc>
      </w:tr>
    </w:tbl>
    <w:p>
      <w:pPr>
        <w:jc w:val="left"/>
      </w:pPr>
      <w:r>
        <w:rPr>
          <w:b/>
        </w:rPr>
        <w:t>Verantwortlich:</w:t>
      </w:r>
      <w:r>
        <w:t xml:space="preserve"> Legal (Lena Maaßen), Adtech-Team, CTO Fatima Schröder.</w:t>
      </w:r>
    </w:p>
    <w:p/>
    <w:p>
      <w:pPr>
        <w:pStyle w:val="Heading2"/>
      </w:pPr>
      <w:r>
        <w:rPr>
          <w:rFonts w:ascii="Times New Roman" w:hAnsi="Times New Roman"/>
        </w:rPr>
        <w:t>5. Öffentliche Zugänglichkeit</w:t>
      </w:r>
    </w:p>
    <w:p>
      <w:pPr>
        <w:jc w:val="left"/>
      </w:pPr>
      <w:r>
        <w:t>Art. 39 Abs. 2 DSA verlangt, dass das Repository "leicht und direkt" zugänglich ist. Die Kommission hat in ihren Leitlinien vom März 2025 folgende Mindestanforderungen konkretisiert:</w:t>
      </w:r>
    </w:p>
    <w:p>
      <w:pPr>
        <w:pStyle w:val="ListBullet"/>
      </w:pPr>
      <w:r>
        <w:t>Volltext-Suche nach Werbetreibenden, Zeiträumen und Targeting-Parametern</w:t>
      </w:r>
    </w:p>
    <w:p>
      <w:pPr>
        <w:pStyle w:val="ListBullet"/>
      </w:pPr>
      <w:r>
        <w:t>Maschinenlesbare Schnittstelle (API) für Forscher und akkreditierte Institutionen</w:t>
      </w:r>
    </w:p>
    <w:p>
      <w:pPr>
        <w:pStyle w:val="ListBullet"/>
      </w:pPr>
      <w:r>
        <w:t>Keine Registrierungspflicht für einfache Lesezugriffe</w:t>
      </w:r>
    </w:p>
    <w:p>
      <w:pPr>
        <w:pStyle w:val="ListBullet"/>
      </w:pPr>
      <w:r>
        <w:t>Aktualität: tägliche Aktualisierung</w:t>
      </w:r>
    </w:p>
    <w:p>
      <w:pPr>
        <w:jc w:val="left"/>
      </w:pPr>
      <w:r>
        <w:rPr>
          <w:b/>
        </w:rPr>
        <w:t>Status Halmweise.de:</w:t>
      </w:r>
      <w:r>
        <w:t xml:space="preserve"> Repository ist unter https://halmweise.de/ads-transparency öffentlich zugänglich. Suchfunktion vorhanden, aber API für Forscher fehlt noch (geplant für 01.07.2026).</w:t>
      </w:r>
    </w:p>
    <w:p/>
    <w:p>
      <w:pPr>
        <w:pStyle w:val="Heading2"/>
      </w:pPr>
      <w:r>
        <w:rPr>
          <w:rFonts w:ascii="Times New Roman" w:hAnsi="Times New Roman"/>
        </w:rPr>
        <w:t>6. Verhältnis zu DSGVO und Datenschutz</w:t>
      </w:r>
    </w:p>
    <w:p>
      <w:pPr>
        <w:jc w:val="left"/>
      </w:pPr>
      <w:r>
        <w:t>Die Repository-Pflicht des Art. 39 DSA steht in Spannung zum Datenschutzrecht. Targeting-Parameter können personenbezogene Daten sein. Lösung nach Erwägungsgrund 99 DSA: Targeting-Parameter sind so zu dokumentieren, dass keine Rückschlüsse auf individuelle Nutzer möglich sind (aggregierte oder pseudonymisierte Angaben).</w:t>
      </w:r>
    </w:p>
    <w:p/>
    <w:p>
      <w:pPr>
        <w:pStyle w:val="Heading2"/>
      </w:pPr>
      <w:r>
        <w:rPr>
          <w:rFonts w:ascii="Times New Roman" w:hAnsi="Times New Roman"/>
        </w:rPr>
        <w:t>7. Empfehlungen an Mandantin</w:t>
      </w:r>
    </w:p>
    <w:p>
      <w:pPr>
        <w:pStyle w:val="ListNumber"/>
      </w:pPr>
      <w:r>
        <w:t>Rückfüllungsplan unverzüglich umsetzen; Nachweis gegenüber BNetzA mit Sachstandsbericht bis 05.05.2026.</w:t>
      </w:r>
    </w:p>
    <w:p>
      <w:pPr>
        <w:pStyle w:val="ListNumber"/>
      </w:pPr>
      <w:r>
        <w:t>API-Implementierung für Forscher bis 01.07.2026 priorisieren.</w:t>
      </w:r>
    </w:p>
    <w:p>
      <w:pPr>
        <w:pStyle w:val="ListNumber"/>
      </w:pPr>
      <w:r>
        <w:t>Automatisiertes tägliches Monitoring für Repository-Vollständigkeit einrichten.</w:t>
      </w:r>
    </w:p>
    <w:p>
      <w:pPr>
        <w:pStyle w:val="ListNumber"/>
      </w:pPr>
      <w:r>
        <w:t>Datenschutzrechtliche Prüfung der Repository-Inhalte mit DPO abstimmen.</w:t>
      </w:r>
    </w:p>
    <w:p/>
    <w:p>
      <w:pPr>
        <w:pStyle w:val="Heading2"/>
      </w:pPr>
      <w:r>
        <w:rPr>
          <w:rFonts w:ascii="Times New Roman" w:hAnsi="Times New Roman"/>
        </w:rPr>
        <w:t>8. Rechtsgrundlagen</w:t>
      </w:r>
    </w:p>
    <w:p>
      <w:pPr>
        <w:pStyle w:val="ListBullet"/>
      </w:pPr>
      <w:r>
        <w:t>Art. 39 DSA (EU) 2022/2065 — Werbeanzeigen-Repository</w:t>
      </w:r>
    </w:p>
    <w:p>
      <w:pPr>
        <w:pStyle w:val="ListBullet"/>
      </w:pPr>
      <w:r>
        <w:t>Art. 26, 35 DSGVO (EU) 2016/679 — Datenschutz bei Werbedaten</w:t>
      </w:r>
    </w:p>
    <w:p>
      <w:pPr>
        <w:jc w:val="left"/>
      </w:pPr>
      <w:r>
        <w:rPr>
          <w:b/>
        </w:rPr>
        <w:t>Quellen:</w:t>
      </w:r>
    </w:p>
    <w:p>
      <w:pPr>
        <w:pStyle w:val="ListBullet"/>
      </w:pPr>
      <w:r>
        <w:t>Verordnung (EU) 2022/2065 (DSA), EUR-Lex: https://eur-lex.europa.eu/legal-content/DE/TXT/?uri=CELEX%3A32022R2065</w:t>
      </w:r>
    </w:p>
    <w:p/>
    <w:p>
      <w:pPr>
        <w:jc w:val="left"/>
      </w:pPr>
      <w:r>
        <w:rPr>
          <w:i/>
        </w:rPr>
        <w:t>Bearbeitung: RA Felix Wendland</w:t>
      </w:r>
    </w:p>
    <w:p>
      <w:pPr>
        <w:jc w:val="left"/>
      </w:pPr>
      <w:r>
        <w:rPr>
          <w:i/>
        </w:rPr>
        <w:t>Stand: 07.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