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12 — Forschungsdatenzugang nach Art. 40 DSA: DSC-Streitfrage</w:t>
      </w:r>
    </w:p>
    <w:p>
      <w:pPr>
        <w:jc w:val="left"/>
      </w:pPr>
      <w:r>
        <w:rPr>
          <w:b/>
        </w:rPr>
        <w:t>Az. Kanzlei:</w:t>
      </w:r>
      <w:r>
        <w:t xml:space="preserve"> KRS-2026-0318-DSA</w:t>
      </w:r>
    </w:p>
    <w:p>
      <w:pPr>
        <w:jc w:val="left"/>
      </w:pPr>
      <w:r>
        <w:rPr>
          <w:b/>
        </w:rPr>
        <w:t>Bearbeitung:</w:t>
      </w:r>
      <w:r>
        <w:t xml:space="preserve"> RAin Dr. Philippa Groth-Steinberg, RA Felix Wendland</w:t>
      </w:r>
    </w:p>
    <w:p>
      <w:pPr>
        <w:jc w:val="left"/>
      </w:pPr>
      <w:r>
        <w:rPr>
          <w:b/>
        </w:rPr>
        <w:t>Stand:</w:t>
      </w:r>
      <w:r>
        <w:t xml:space="preserve"> 09. April 2026</w:t>
      </w:r>
    </w:p>
    <w:p/>
    <w:p>
      <w:pPr>
        <w:pStyle w:val="Heading2"/>
      </w:pPr>
      <w:r>
        <w:rPr>
          <w:rFonts w:ascii="Times New Roman" w:hAnsi="Times New Roman"/>
        </w:rPr>
        <w:t>1. Normgrundlage</w:t>
      </w:r>
    </w:p>
    <w:p>
      <w:pPr>
        <w:jc w:val="left"/>
      </w:pPr>
      <w:r>
        <w:t>Art. 40 DSA verpflichtet VLOPs, akkreditierten Forschern auf begründeten Antrag Zugang zu Daten zu gewähren, die zur Untersuchung systemischer Risiken nach Art. 34 DSA erforderlich sind. Die Bundesnetzagentur als DSC kann Körnerstrom Social GmbH nach Art. 40 Abs. 4 DSA anweisen, Forschern Zugang zu gewähren, wenn die Plattform einen Antrag zu Unrecht ablehnt.</w:t>
      </w:r>
    </w:p>
    <w:p/>
    <w:p>
      <w:pPr>
        <w:pStyle w:val="Heading2"/>
      </w:pPr>
      <w:r>
        <w:rPr>
          <w:rFonts w:ascii="Times New Roman" w:hAnsi="Times New Roman"/>
        </w:rPr>
        <w:t>2. Antrag Prof. Dr. Müller-Kaminski (Universität Köln)</w:t>
      </w:r>
    </w:p>
    <w:p>
      <w:pPr>
        <w:jc w:val="left"/>
      </w:pPr>
      <w:r>
        <w:t>Die Forschungsgruppe Digitale Öffentlichkeit unter Leitung von Prof. Dr. Ana Müller-Kaminski (Lehrstuhl Kommunikationswissenschaft, Universität zu Köln) stellte am 15. Januar 2026 folgenden Antrag:</w:t>
      </w:r>
    </w:p>
    <w:p>
      <w:pPr>
        <w:jc w:val="left"/>
      </w:pPr>
      <w:r>
        <w:rPr>
          <w:b/>
        </w:rPr>
        <w:t>Forschungsziel:</w:t>
      </w:r>
      <w:r>
        <w:t xml:space="preserve"> Untersuchung der Auswirkungen des HalmRank-Algorithmus auf politische Meinungsbildung und Informationsblasen in der EU.</w:t>
      </w:r>
    </w:p>
    <w:p>
      <w:pPr>
        <w:jc w:val="left"/>
      </w:pPr>
      <w:r>
        <w:rPr>
          <w:b/>
        </w:rPr>
        <w:t>Begehrte Daten:</w:t>
      </w:r>
    </w:p>
    <w:p>
      <w:pPr>
        <w:pStyle w:val="ListBullet"/>
      </w:pPr>
      <w:r>
        <w:t>Aggregierte Engagement-Daten (Likes, Shares, Kommentare) nach Inhaltskategorie und Nutzerdemographie (anonymisiert)</w:t>
      </w:r>
    </w:p>
    <w:p>
      <w:pPr>
        <w:pStyle w:val="ListBullet"/>
      </w:pPr>
      <w:r>
        <w:t>Stichprobe von 100.000 anonymisierten Nutzerprofilen (Interaktionsmuster, keine Klarnamen)</w:t>
      </w:r>
    </w:p>
    <w:p>
      <w:pPr>
        <w:pStyle w:val="ListBullet"/>
      </w:pPr>
      <w:r>
        <w:t>Vollständige Beschreibung des HalmRank-Ranking-Algorithmus (Black-Box-Offenlegung)</w:t>
      </w:r>
    </w:p>
    <w:p>
      <w:pPr>
        <w:jc w:val="left"/>
      </w:pPr>
      <w:r>
        <w:rPr>
          <w:b/>
        </w:rPr>
        <w:t>DSA-Akkreditierung:</w:t>
      </w:r>
      <w:r>
        <w:t xml:space="preserve"> Antragsstellerin ist an einer öffentlichen Forschungseinrichtung tätig. Der Antrag wurde vom zuständigen DSC-Verfahren (BNetzA-Koordination) als grundsätzlich akkreditierungsfähig eingestuft.</w:t>
      </w:r>
    </w:p>
    <w:p/>
    <w:p>
      <w:pPr>
        <w:pStyle w:val="Heading2"/>
      </w:pPr>
      <w:r>
        <w:rPr>
          <w:rFonts w:ascii="Times New Roman" w:hAnsi="Times New Roman"/>
        </w:rPr>
        <w:t>3. Ablehnung durch Körnerstrom Social GmbH</w:t>
      </w:r>
    </w:p>
    <w:p>
      <w:pPr>
        <w:jc w:val="left"/>
      </w:pPr>
      <w:r>
        <w:t>Körnerstrom Social GmbH lehnte den Antrag am 12. Februar 2026 ab und begründete dies wie folgt:</w:t>
      </w:r>
    </w:p>
    <w:p>
      <w:pPr>
        <w:pStyle w:val="ListNumber"/>
      </w:pPr>
      <w:r>
        <w:rPr>
          <w:b/>
        </w:rPr>
        <w:t>Datenschutz:</w:t>
      </w:r>
      <w:r>
        <w:t xml:space="preserve"> Die begehrten Nutzerprofil-Stichproben seien auch anonymisiert re-identifizierbar und verstießen gegen Art. 89 DSGVO.</w:t>
      </w:r>
    </w:p>
    <w:p>
      <w:pPr>
        <w:pStyle w:val="ListNumber"/>
      </w:pPr>
      <w:r>
        <w:rPr>
          <w:b/>
        </w:rPr>
        <w:t>Geschäftsgeheimnisse:</w:t>
      </w:r>
      <w:r>
        <w:t xml:space="preserve"> Die vollständige Algorithmus-Offenlegung betreffe Geschäftsgeheimnisse nach § 2 Nr. 1 GeschGehG und könne Dritten (Wettbewerbern) zugänglich werden.</w:t>
      </w:r>
    </w:p>
    <w:p>
      <w:pPr>
        <w:pStyle w:val="ListNumber"/>
      </w:pPr>
      <w:r>
        <w:rPr>
          <w:b/>
        </w:rPr>
        <w:t>Verhältnismäßigkeit:</w:t>
      </w:r>
      <w:r>
        <w:t xml:space="preserve"> Der Umfang der begehrten Daten gehe über das zur Erreichung des Forschungsziels Notwendige hinaus.</w:t>
      </w:r>
    </w:p>
    <w:p/>
    <w:p>
      <w:pPr>
        <w:pStyle w:val="Heading2"/>
      </w:pPr>
      <w:r>
        <w:rPr>
          <w:rFonts w:ascii="Times New Roman" w:hAnsi="Times New Roman"/>
        </w:rPr>
        <w:t>4. BNetzA-DSC-Verfahren</w:t>
      </w:r>
    </w:p>
    <w:p>
      <w:pPr>
        <w:jc w:val="left"/>
      </w:pPr>
      <w:r>
        <w:t>Die BNetzA hat die Ablehnung im Mahnverfahren (Az. BNetzA-DSC-2026-188) aufgegriffen. In der Mahnung vom 02. April 2026 heißt es sinngemäß:</w:t>
      </w:r>
    </w:p>
    <w:p>
      <w:pPr>
        <w:ind w:left="567"/>
      </w:pPr>
      <w:r>
        <w:rPr>
          <w:i/>
        </w:rPr>
        <w:t>"Die Ablehnung des Forschungsdatenzugangs entspricht nicht den Anforderungen des Art. 40 DSA. Die Plattformbetreiberin hat nicht hinreichend dargelegt, dass weniger einschneidende Mittel (z.B. abgestufte Datenzugangslösungen, sichere Forschungsumgebungen) geprüft und verworfen wurden."</w:t>
      </w:r>
    </w:p>
    <w:p/>
    <w:p>
      <w:pPr>
        <w:pStyle w:val="Heading2"/>
      </w:pPr>
      <w:r>
        <w:rPr>
          <w:rFonts w:ascii="Times New Roman" w:hAnsi="Times New Roman"/>
        </w:rPr>
        <w:t>5. Rechtliche Analyse der Ablehnungsgründe</w:t>
      </w:r>
    </w:p>
    <w:p>
      <w:pPr>
        <w:pStyle w:val="Heading3"/>
      </w:pPr>
      <w:r>
        <w:rPr>
          <w:rFonts w:ascii="Times New Roman" w:hAnsi="Times New Roman"/>
        </w:rPr>
        <w:t>5.1 Datenschutz-Einwand</w:t>
      </w:r>
    </w:p>
    <w:p>
      <w:pPr>
        <w:jc w:val="left"/>
      </w:pPr>
      <w:r>
        <w:t>Art. 40 Abs. 5 DSA sieht ausdrücklich vor, dass Forschungsdaten in sicheren Datenverarbeitungsumgebungen bereitgestellt werden können, um Re-Identifizierungsrisiken zu minimieren. Die bloße Möglichkeit der Re-Identifizierung schließt den Forschungszugang nicht aus; vielmehr sind technische Schutzmaßnahmen zu ergreifen. Der Datenschutz-Einwand allein trägt die Ablehnung daher nicht.</w:t>
      </w:r>
    </w:p>
    <w:p>
      <w:pPr>
        <w:pStyle w:val="Heading3"/>
      </w:pPr>
      <w:r>
        <w:rPr>
          <w:rFonts w:ascii="Times New Roman" w:hAnsi="Times New Roman"/>
        </w:rPr>
        <w:t>5.2 Geschäftsgeheimnisse</w:t>
      </w:r>
    </w:p>
    <w:p>
      <w:pPr>
        <w:jc w:val="left"/>
      </w:pPr>
      <w:r>
        <w:t>Gemäß Art. 40 Abs. 4 Satz 3 DSA dürfen Anbieter Zugang zu verweigern, soweit dies zum Schutz vertraulicher Informationen, einschließlich Geschäftsgeheimnissen, erforderlich ist — allerdings nur für den geschützten Teil und nicht generell. Eine vollständige Ablehnung ist unverhältnismäßig, wenn eine partiell geschwärzte oder abstrahierte Algorithmus-Beschreibung ausreichen würde.</w:t>
      </w:r>
    </w:p>
    <w:p>
      <w:pPr>
        <w:pStyle w:val="Heading3"/>
      </w:pPr>
      <w:r>
        <w:rPr>
          <w:rFonts w:ascii="Times New Roman" w:hAnsi="Times New Roman"/>
        </w:rPr>
        <w:t>5.3 Verhältnismäßigkeit</w:t>
      </w:r>
    </w:p>
    <w:p>
      <w:pPr>
        <w:jc w:val="left"/>
      </w:pPr>
      <w:r>
        <w:t>Die Forschungseinrichtung hat in ihrer Erwiderung vom 28. Februar 2026 angeboten, den Stichprobenumfang auf 20.000 Nutzerprofile zu reduzieren und auf vollständige Algorithmus-Offenlegung zu verzichten (Beschreibung der Hauptparameter genüge). Dieses Angebot wurde von Körnerstrom Social GmbH nicht aufgegriffen.</w:t>
      </w:r>
    </w:p>
    <w:p/>
    <w:p>
      <w:pPr>
        <w:pStyle w:val="Heading2"/>
      </w:pPr>
      <w:r>
        <w:rPr>
          <w:rFonts w:ascii="Times New Roman" w:hAnsi="Times New Roman"/>
        </w:rPr>
        <w:t>6. Empfohlene Lösung: Gestufte Datenzugangsvereinbarung</w:t>
      </w:r>
    </w:p>
    <w:p>
      <w:pPr>
        <w:jc w:val="left"/>
      </w:pPr>
      <w:r>
        <w:t>Die Kanzlei empfiehlt, mit Prof. Dr. Müller-Kaminski eine gestufte Datenzugangsvereinbarung zu schließen:</w:t>
      </w:r>
    </w:p>
    <w:p>
      <w:pPr>
        <w:jc w:val="left"/>
      </w:pPr>
      <w:r>
        <w:rPr>
          <w:b/>
        </w:rPr>
        <w:t>Stufe 1 — Öffentlich zugängliche Aggregatdaten:</w:t>
      </w:r>
      <w:r>
        <w:t xml:space="preserve"> Engagement-Statistiken nach Inhaltskategorie, nicht auf Einzelnutzer heruntergebrochen.</w:t>
      </w:r>
    </w:p>
    <w:p>
      <w:pPr>
        <w:jc w:val="left"/>
      </w:pPr>
      <w:r>
        <w:rPr>
          <w:b/>
        </w:rPr>
        <w:t>Stufe 2 — Sichere Forschungsumgebung:</w:t>
      </w:r>
      <w:r>
        <w:t xml:space="preserve"> 20.000 pseudonymisierte Nutzerprofile in einem durch Halmweise.de kontrollierten Secure Data Room; kein Export; Ergebnisberichte werden vor Veröffentlichung durch Legal geprüft.</w:t>
      </w:r>
    </w:p>
    <w:p>
      <w:pPr>
        <w:jc w:val="left"/>
      </w:pPr>
      <w:r>
        <w:rPr>
          <w:b/>
        </w:rPr>
        <w:t>Stufe 3 — Algorithmus-Beschreibung:</w:t>
      </w:r>
      <w:r>
        <w:t xml:space="preserve"> Schriftliche Beschreibung der Hauptparameter und Gewichtungen (ohne Quellcode), unter Geheimhaltungsvereinbarung.</w:t>
      </w:r>
    </w:p>
    <w:p/>
    <w:p>
      <w:pPr>
        <w:pStyle w:val="Heading2"/>
      </w:pPr>
      <w:r>
        <w:rPr>
          <w:rFonts w:ascii="Times New Roman" w:hAnsi="Times New Roman"/>
        </w:rPr>
        <w:t>7. Nächste Schritte</w:t>
      </w:r>
    </w:p>
    <w:p>
      <w:pPr>
        <w:pStyle w:val="ListNumber"/>
      </w:pPr>
      <w:r>
        <w:t>Unverzügliche Aufnahme von Gesprächen mit Prof. Dr. Müller-Kaminski (bis 15.04.2026).</w:t>
      </w:r>
    </w:p>
    <w:p>
      <w:pPr>
        <w:pStyle w:val="ListNumber"/>
      </w:pPr>
      <w:r>
        <w:t>Entwurf einer Datenzugangsvereinbarung durch Kanzlei (bis 22.04.2026).</w:t>
      </w:r>
    </w:p>
    <w:p>
      <w:pPr>
        <w:pStyle w:val="ListNumber"/>
      </w:pPr>
      <w:r>
        <w:t>Information BNetzA über geplante Lösung als Reaktion auf Mahnung (bis 30.04.2026).</w:t>
      </w:r>
    </w:p>
    <w:p/>
    <w:p>
      <w:pPr>
        <w:pStyle w:val="Heading2"/>
      </w:pPr>
      <w:r>
        <w:rPr>
          <w:rFonts w:ascii="Times New Roman" w:hAnsi="Times New Roman"/>
        </w:rPr>
        <w:t>8. Rechtsgrundlagen</w:t>
      </w:r>
    </w:p>
    <w:p>
      <w:pPr>
        <w:pStyle w:val="ListBullet"/>
      </w:pPr>
      <w:r>
        <w:t>Art. 40 DSA (EU) 2022/2065 — Forschungsdatenzugang</w:t>
      </w:r>
    </w:p>
    <w:p>
      <w:pPr>
        <w:pStyle w:val="ListBullet"/>
      </w:pPr>
      <w:r>
        <w:t>Art. 89 DSGVO (EU) 2016/679 — Verarbeitung für Forschungszwecke</w:t>
      </w:r>
    </w:p>
    <w:p>
      <w:pPr>
        <w:pStyle w:val="ListBullet"/>
      </w:pPr>
      <w:r>
        <w:t>§ 2 Nr. 1 GeschGehG — Geschäftsgeheimnis</w:t>
      </w:r>
    </w:p>
    <w:p>
      <w:pPr>
        <w:jc w:val="left"/>
      </w:pPr>
      <w:r>
        <w:rPr>
          <w:b/>
        </w:rPr>
        <w:t>Quellen:</w:t>
      </w:r>
    </w:p>
    <w:p>
      <w:pPr>
        <w:pStyle w:val="ListBullet"/>
      </w:pPr>
      <w:r>
        <w:t>Verordnung (EU) 2022/2065 (DSA), EUR-Lex: https://eur-lex.europa.eu/legal-content/DE/TXT/?uri=CELEX%3A32022R2065</w:t>
      </w:r>
    </w:p>
    <w:p>
      <w:pPr>
        <w:pStyle w:val="ListBullet"/>
      </w:pPr>
      <w:r>
        <w:t>§ 2 GeschGehG, dejure.org: https://dejure.org/gesetze/GeschGehG/2.html</w:t>
      </w:r>
    </w:p>
    <w:p/>
    <w:p>
      <w:pPr>
        <w:jc w:val="left"/>
      </w:pPr>
      <w:r>
        <w:rPr>
          <w:i/>
        </w:rPr>
        <w:t>Bearbeitung: RAin Dr. Philippa Groth-Steinberg, RA Felix Wendland</w:t>
      </w:r>
    </w:p>
    <w:p>
      <w:pPr>
        <w:jc w:val="left"/>
      </w:pPr>
      <w:r>
        <w:rPr>
          <w:i/>
        </w:rPr>
        <w:t>Stand: 09.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