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13 — Krisenreaktionsmechanismus nach Art. 36 DSA</w:t>
      </w:r>
    </w:p>
    <w:p>
      <w:pPr>
        <w:jc w:val="left"/>
      </w:pPr>
      <w:r>
        <w:rPr>
          <w:b/>
        </w:rPr>
        <w:t>Az. Kanzlei:</w:t>
      </w:r>
      <w:r>
        <w:t xml:space="preserve"> KRS-2026-0318-DSA</w:t>
      </w:r>
    </w:p>
    <w:p>
      <w:pPr>
        <w:jc w:val="left"/>
      </w:pPr>
      <w:r>
        <w:rPr>
          <w:b/>
        </w:rPr>
        <w:t>Bearbeitung:</w:t>
      </w:r>
      <w:r>
        <w:t xml:space="preserve"> RAin Dr. Philippa Groth-Steinberg</w:t>
      </w:r>
    </w:p>
    <w:p>
      <w:pPr>
        <w:jc w:val="left"/>
      </w:pPr>
      <w:r>
        <w:rPr>
          <w:b/>
        </w:rPr>
        <w:t>Stand:</w:t>
      </w:r>
      <w:r>
        <w:t xml:space="preserve"> 10. April 2026</w:t>
      </w:r>
    </w:p>
    <w:p/>
    <w:p>
      <w:pPr>
        <w:pStyle w:val="Heading2"/>
      </w:pPr>
      <w:r>
        <w:rPr>
          <w:rFonts w:ascii="Times New Roman" w:hAnsi="Times New Roman"/>
        </w:rPr>
        <w:t>1. Normgrundlage</w:t>
      </w:r>
    </w:p>
    <w:p>
      <w:pPr>
        <w:jc w:val="left"/>
      </w:pPr>
      <w:r>
        <w:t>Art. 36 DSA ermächtigt die Europäische Kommission, in einer außergewöhnlichen Situation mit schwerwiegenden Bedrohungen für die öffentliche Sicherheit oder die öffentliche Gesundheit in der EU VLOPs zu verpflichten, innerhalb kurzer Frist bestimmte Maßnahmen zu ergreifen. Der Mechanismus ist als Notfallinstrument konzipiert und kann unabhängig vom regulären Enforcement-Verfahren aktiviert werden.</w:t>
      </w:r>
    </w:p>
    <w:p/>
    <w:p>
      <w:pPr>
        <w:pStyle w:val="Heading2"/>
      </w:pPr>
      <w:r>
        <w:rPr>
          <w:rFonts w:ascii="Times New Roman" w:hAnsi="Times New Roman"/>
        </w:rPr>
        <w:t>2. Voraussetzungen der Aktivierung (Art. 36 Abs. 1 DSA)</w:t>
      </w:r>
    </w:p>
    <w:p>
      <w:pPr>
        <w:jc w:val="left"/>
      </w:pPr>
      <w:r>
        <w:t>Die Kommission kann Art. 36 DSA aktivieren, wenn:</w:t>
      </w:r>
    </w:p>
    <w:p>
      <w:pPr>
        <w:pStyle w:val="ListBullet"/>
      </w:pPr>
      <w:r>
        <w:t>eine außergewöhnliche Situation vorliegt (Krisen, Naturkatastrophen, Terroranschläge, Epidemien)</w:t>
      </w:r>
    </w:p>
    <w:p>
      <w:pPr>
        <w:pStyle w:val="ListBullet"/>
      </w:pPr>
      <w:r>
        <w:t>die Situation schwerwiegende Bedrohungen für die öffentliche Sicherheit oder Gesundheit bewirkt</w:t>
      </w:r>
    </w:p>
    <w:p>
      <w:pPr>
        <w:pStyle w:val="ListBullet"/>
      </w:pPr>
      <w:r>
        <w:t>die Bedrohung in mehreren Mitgliedstaaten auftritt</w:t>
      </w:r>
    </w:p>
    <w:p>
      <w:pPr>
        <w:jc w:val="left"/>
      </w:pPr>
      <w:r>
        <w:t>Die Kommission hat nach dem Anschlag auf ein Berliner Veranstaltungszentrum vom 03. März 2026 am 05. März 2026 einen Aktivierungsbeschluss nach Art. 36 DSA erlassen (Az. GROW-2026-CRISIS-003). Dieser verpflichtet alle designierten VLOPs für den Zeitraum 05.03.–30.03.2026, folgende Maßnahmen umzusetzen:</w:t>
      </w:r>
    </w:p>
    <w:p>
      <w:pPr>
        <w:pStyle w:val="ListBullet"/>
      </w:pPr>
      <w:r>
        <w:t>Verstärkte Beobachtung und proaktives Entfernen von terroristischen Propagandainhalten</w:t>
      </w:r>
    </w:p>
    <w:p>
      <w:pPr>
        <w:pStyle w:val="ListBullet"/>
      </w:pPr>
      <w:r>
        <w:t>Prioritäre Bearbeitung von Meldungen staatlicher Behörden</w:t>
      </w:r>
    </w:p>
    <w:p>
      <w:pPr>
        <w:pStyle w:val="ListBullet"/>
      </w:pPr>
      <w:r>
        <w:t>Tägliches Reporting an die Kommission über Art und Umfang der Maßnahmen</w:t>
      </w:r>
    </w:p>
    <w:p/>
    <w:p>
      <w:pPr>
        <w:pStyle w:val="Heading2"/>
      </w:pPr>
      <w:r>
        <w:rPr>
          <w:rFonts w:ascii="Times New Roman" w:hAnsi="Times New Roman"/>
        </w:rPr>
        <w:t>3. Implementierung bei Halmweise.de</w:t>
      </w:r>
    </w:p>
    <w:p>
      <w:pPr>
        <w:pStyle w:val="Heading3"/>
      </w:pPr>
      <w:r>
        <w:rPr>
          <w:rFonts w:ascii="Times New Roman" w:hAnsi="Times New Roman"/>
        </w:rPr>
        <w:t>3.1 Reaktion auf den Aktivierungsbeschluss</w:t>
      </w:r>
    </w:p>
    <w:p>
      <w:pPr>
        <w:jc w:val="left"/>
      </w:pPr>
      <w:r>
        <w:t>Körnerstrom Social GmbH hat den Aktivierungsbeschluss am 05. März 2026 — neun Tage vor der VLOP-Designation — erhalten, da die Designation erst am 14. März 2026 wirksam wurde. Dies führte zu einer rechtlichen Grauzone.</w:t>
      </w:r>
    </w:p>
    <w:p>
      <w:pPr>
        <w:jc w:val="left"/>
      </w:pPr>
      <w:r>
        <w:rPr>
          <w:b/>
        </w:rPr>
        <w:t>Rechtliche Frage:</w:t>
      </w:r>
      <w:r>
        <w:t xml:space="preserve"> Waren VLOPs vor Wirksamwerden der Designation an den Art. 36-Beschluss gebunden?</w:t>
      </w:r>
    </w:p>
    <w:p>
      <w:pPr>
        <w:jc w:val="left"/>
      </w:pPr>
      <w:r>
        <w:rPr>
          <w:b/>
        </w:rPr>
        <w:t>Bewertung:</w:t>
      </w:r>
      <w:r>
        <w:t xml:space="preserve"> Nein. Die VLOP-spezifischen Pflichten (Art. 34-43 DSA) greifen erst nach Designation (Art. 33 Abs. 6 DSA). Die allgemeinen Pflichten (Art. 11-27 DSA, geltend für alle Hosting-Anbieter) betreffen Art. 36 DSA nicht direkt. Körnerstrom Social GmbH war für den Zeitraum 05.03.–14.03.2026 nicht formal gebunden.</w:t>
      </w:r>
    </w:p>
    <w:p>
      <w:pPr>
        <w:jc w:val="left"/>
      </w:pPr>
      <w:r>
        <w:rPr>
          <w:b/>
        </w:rPr>
        <w:t>Faktisches Vorgehen:</w:t>
      </w:r>
      <w:r>
        <w:t xml:space="preserve"> Körnerstrom Social GmbH hat dennoch freiwillig ab 07. März 2026 verstärkte Moderation für terrorismuspropagandistische Inhalte eingeführt und dies der Kommission kommuniziert. Dies ist strategisch sinnvoll und schützt vor Reputationsrisiken.</w:t>
      </w:r>
    </w:p>
    <w:p/>
    <w:p>
      <w:pPr>
        <w:pStyle w:val="Heading3"/>
      </w:pPr>
      <w:r>
        <w:rPr>
          <w:rFonts w:ascii="Times New Roman" w:hAnsi="Times New Roman"/>
        </w:rPr>
        <w:t>3.2 Maßnahmen nach Designation (ab 14. März 2026)</w:t>
      </w:r>
    </w:p>
    <w:p>
      <w:pPr>
        <w:jc w:val="left"/>
      </w:pPr>
      <w:r>
        <w:t>Ab dem 14. März 2026 war Halmweise.de als VLOP formal an etwaige laufende Art. 36-Beschlüsse gebunden. Da der Beschluss GROW-2026-CRISIS-003 bis 30. März 2026 lief, war ein Zeitraum von 16 Tagen faktisch relevant.</w:t>
      </w:r>
    </w:p>
    <w:p>
      <w:pPr>
        <w:jc w:val="left"/>
      </w:pPr>
      <w:r>
        <w:t>In diesem Zeitraum umgesetzte Maßnahmen:</w:t>
      </w:r>
    </w:p>
    <w:p>
      <w:pPr>
        <w:pStyle w:val="ListBullet"/>
      </w:pPr>
      <w:r>
        <w:t>Einrichtung einer dedizierten Task Force aus 15 Senior-Moderatoren für terrorismusbezogene Inhalte</w:t>
      </w:r>
    </w:p>
    <w:p>
      <w:pPr>
        <w:pStyle w:val="ListBullet"/>
      </w:pPr>
      <w:r>
        <w:t>Priorisierung von Meldungen des BKA und anderer Strafverfolgungsbehörden</w:t>
      </w:r>
    </w:p>
    <w:p>
      <w:pPr>
        <w:pStyle w:val="ListBullet"/>
      </w:pPr>
      <w:r>
        <w:t>Tägliche Reports an Kommission (15. bis 30. März 2026)</w:t>
      </w:r>
    </w:p>
    <w:p/>
    <w:p>
      <w:pPr>
        <w:pStyle w:val="Heading2"/>
      </w:pPr>
      <w:r>
        <w:rPr>
          <w:rFonts w:ascii="Times New Roman" w:hAnsi="Times New Roman"/>
        </w:rPr>
        <w:t>4. Strukturelle Vorbereitung für zukünftige Krisenszenarien</w:t>
      </w:r>
    </w:p>
    <w:p>
      <w:pPr>
        <w:jc w:val="left"/>
      </w:pPr>
      <w:r>
        <w:t>Art. 36 DSA sieht in Abs. 3 vor, dass die Kommission nach Abschluss eines Krisenverfahrens einen Bericht veröffentlicht, der auch Empfehlungen zur strukturellen Verbesserung enthält. Unabhängig davon empfiehlt die Kanzlei:</w:t>
      </w:r>
    </w:p>
    <w:p>
      <w:pPr>
        <w:pStyle w:val="Heading3"/>
      </w:pPr>
      <w:r>
        <w:rPr>
          <w:rFonts w:ascii="Times New Roman" w:hAnsi="Times New Roman"/>
        </w:rPr>
        <w:t>4.1 Crisis Response Plan</w:t>
      </w:r>
    </w:p>
    <w:p>
      <w:pPr>
        <w:jc w:val="left"/>
      </w:pPr>
      <w:r>
        <w:t>Erstellung eines schriftlichen Crisis Response Plans für Halmweise.de (intern), der folgende Szenarien abdeckt:</w:t>
      </w:r>
    </w:p>
    <w:p>
      <w:pPr>
        <w:pStyle w:val="ListBullet"/>
      </w:pPr>
      <w:r>
        <w:t>Terroranschläge</w:t>
      </w:r>
    </w:p>
    <w:p>
      <w:pPr>
        <w:pStyle w:val="ListBullet"/>
      </w:pPr>
      <w:r>
        <w:t>Epidemien / Pandemien</w:t>
      </w:r>
    </w:p>
    <w:p>
      <w:pPr>
        <w:pStyle w:val="ListBullet"/>
      </w:pPr>
      <w:r>
        <w:t>Naturkatastrophen mit DSA-Relevanz (Desinformation)</w:t>
      </w:r>
    </w:p>
    <w:p>
      <w:pPr>
        <w:pStyle w:val="ListBullet"/>
      </w:pPr>
      <w:r>
        <w:t>Wahlen (besonderes Risiko demokratischer Integrität)</w:t>
      </w:r>
    </w:p>
    <w:p>
      <w:pPr>
        <w:pStyle w:val="Heading3"/>
      </w:pPr>
      <w:r>
        <w:rPr>
          <w:rFonts w:ascii="Times New Roman" w:hAnsi="Times New Roman"/>
        </w:rPr>
        <w:t>4.2 Crisis Response Team (CRT)</w:t>
      </w:r>
    </w:p>
    <w:p>
      <w:pPr>
        <w:pStyle w:val="ListBullet"/>
      </w:pPr>
      <w:r>
        <w:t>Zusammensetzung: Head of Trust &amp; Safety (Björn Fiedler-Möller), CEO (Dr. Erbakan), CTO (Fatima Schröder), Legal Counsel (Lena Maaßen), PR-Chef</w:t>
      </w:r>
    </w:p>
    <w:p>
      <w:pPr>
        <w:pStyle w:val="ListBullet"/>
      </w:pPr>
      <w:r>
        <w:t>Reaktionszeit: CRT-Aktivierung binnen 4 Stunden nach Bekanntwerden eines Auslöseereignisses</w:t>
      </w:r>
    </w:p>
    <w:p>
      <w:pPr>
        <w:pStyle w:val="ListBullet"/>
      </w:pPr>
      <w:r>
        <w:t>Eskalationsprotokoll: Kanzlei wird unmittelbar informiert</w:t>
      </w:r>
    </w:p>
    <w:p>
      <w:pPr>
        <w:pStyle w:val="Heading3"/>
      </w:pPr>
      <w:r>
        <w:rPr>
          <w:rFonts w:ascii="Times New Roman" w:hAnsi="Times New Roman"/>
        </w:rPr>
        <w:t>4.3 Jährliche Krisenübungen</w:t>
      </w:r>
    </w:p>
    <w:p>
      <w:pPr>
        <w:jc w:val="left"/>
      </w:pPr>
      <w:r>
        <w:t>Art. 35 Abs. 1 lit. i DSA empfiehlt Krisenübungen als Risikominderungsmaßnahme. Erste Übung: September 2026 (geplant mit BNetzA-DSC-Beteiligung).</w:t>
      </w:r>
    </w:p>
    <w:p/>
    <w:p>
      <w:pPr>
        <w:pStyle w:val="Heading2"/>
      </w:pPr>
      <w:r>
        <w:rPr>
          <w:rFonts w:ascii="Times New Roman" w:hAnsi="Times New Roman"/>
        </w:rPr>
        <w:t>5. Rechtsgrundlagen</w:t>
      </w:r>
    </w:p>
    <w:p>
      <w:pPr>
        <w:pStyle w:val="ListBullet"/>
      </w:pPr>
      <w:r>
        <w:t>Art. 36 DSA (EU) 2022/2065 — Krisenreaktionsmechanismus</w:t>
      </w:r>
    </w:p>
    <w:p>
      <w:pPr>
        <w:pStyle w:val="ListBullet"/>
      </w:pPr>
      <w:r>
        <w:t>Art. 33 Abs. 6 DSA — Zeitpunkt des Wirksamwerdens der VLOP-Pflichten</w:t>
      </w:r>
    </w:p>
    <w:p>
      <w:pPr>
        <w:pStyle w:val="ListBullet"/>
      </w:pPr>
      <w:r>
        <w:t>Art. 35 DSA — Risikominderungsmaßnahmen</w:t>
      </w:r>
    </w:p>
    <w:p>
      <w:pPr>
        <w:jc w:val="left"/>
      </w:pPr>
      <w:r>
        <w:rPr>
          <w:b/>
        </w:rPr>
        <w:t>Quellen:</w:t>
      </w:r>
    </w:p>
    <w:p>
      <w:pPr>
        <w:pStyle w:val="ListBullet"/>
      </w:pPr>
      <w:r>
        <w:t>Verordnung (EU) 2022/2065 (DSA), EUR-Lex: https://eur-lex.europa.eu/legal-content/DE/TXT/?uri=CELEX%3A32022R2065</w:t>
      </w:r>
    </w:p>
    <w:p/>
    <w:p>
      <w:pPr>
        <w:jc w:val="left"/>
      </w:pPr>
      <w:r>
        <w:rPr>
          <w:i/>
        </w:rPr>
        <w:t>Bearbeiterin: RAin Dr. Philippa Groth-Steinberg</w:t>
      </w:r>
    </w:p>
    <w:p>
      <w:pPr>
        <w:jc w:val="left"/>
      </w:pPr>
      <w:r>
        <w:rPr>
          <w:i/>
        </w:rPr>
        <w:t>Stand: 10.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