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BNetzA-DSC-Mahnverfahren Az. BNetzA-DSC-2026-188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RAin Dr. Philippa Groth-Steinberg</w:t>
      </w:r>
    </w:p>
    <w:p>
      <w:pPr>
        <w:jc w:val="left"/>
      </w:pPr>
      <w:r>
        <w:rPr>
          <w:b/>
        </w:rPr>
        <w:t>Stand:</w:t>
      </w:r>
      <w:r>
        <w:t xml:space="preserve"> 12. April 2026</w:t>
      </w:r>
    </w:p>
    <w:p/>
    <w:p>
      <w:pPr>
        <w:pStyle w:val="Heading2"/>
      </w:pPr>
      <w:r>
        <w:rPr>
          <w:rFonts w:ascii="Times New Roman" w:hAnsi="Times New Roman"/>
        </w:rPr>
        <w:t>1. Überblick Mahnverfahren</w:t>
      </w:r>
    </w:p>
    <w:p>
      <w:pPr>
        <w:jc w:val="left"/>
      </w:pPr>
      <w:r>
        <w:t xml:space="preserve">Die Bundesnetzagentur (BNetzA) als Digital Services Coordinator (DSC) Deutschland hat am 02. April 2026 (Eingang bei Körnerstrom Social GmbH am 04. April 2026) ein förmliches Mahnverfahren nach Art. 51 Abs. 1 DSA und § 7 DDG eröffnet. Das Schreiben der BNetzA ist in der Akte als EML </w:t>
      </w:r>
      <w:r>
        <w:t>emails/2026-04-02_bnetza_dsc_mahnung.eml</w:t>
      </w:r>
      <w:r>
        <w:t xml:space="preserve"> dokumentiert.</w:t>
      </w:r>
    </w:p>
    <w:p/>
    <w:p>
      <w:pPr>
        <w:pStyle w:val="Heading2"/>
      </w:pPr>
      <w:r>
        <w:rPr>
          <w:rFonts w:ascii="Times New Roman" w:hAnsi="Times New Roman"/>
        </w:rPr>
        <w:t>2. Beanstandete Verstöße</w:t>
      </w:r>
    </w:p>
    <w:p>
      <w:pPr>
        <w:jc w:val="left"/>
      </w:pPr>
      <w:r>
        <w:t>Die BNetzA beanstandet vier Verstöße:</w:t>
      </w:r>
    </w:p>
    <w:p>
      <w:pPr>
        <w:pStyle w:val="Heading3"/>
      </w:pPr>
      <w:r>
        <w:rPr>
          <w:rFonts w:ascii="Times New Roman" w:hAnsi="Times New Roman"/>
        </w:rPr>
        <w:t>Verstoß 1: Verspätete Notice-and-Action-Bearbeitung bei Hassrede (Art. 16 DSA)</w:t>
      </w:r>
    </w:p>
    <w:p>
      <w:pPr>
        <w:jc w:val="left"/>
      </w:pPr>
      <w:r>
        <w:rPr>
          <w:b/>
        </w:rPr>
        <w:t>Sachverhalt:</w:t>
      </w:r>
      <w:r>
        <w:t xml:space="preserve"> Mediane Bearbeitungszeit von 11,3 Werktagen im Zeitraum Oktober 2025 bis Februar 2026 für Hassrede-Meldungen.</w:t>
      </w:r>
    </w:p>
    <w:p>
      <w:pPr>
        <w:jc w:val="left"/>
      </w:pPr>
      <w:r>
        <w:rPr>
          <w:b/>
        </w:rPr>
        <w:t>Rechtliche Einordnung:</w:t>
      </w:r>
      <w:r>
        <w:t xml:space="preserve"> Art. 16 Abs. 6 DSA verlangt Bearbeitung "ohne unnötige Verzögerung". Für klar illegale Inhalte (§ 130 StGB) ist unverzügliches Handeln geboten. 11,3 Werktage überschreiten diesen Standard erheblich.</w:t>
      </w:r>
    </w:p>
    <w:p>
      <w:pPr>
        <w:jc w:val="left"/>
      </w:pPr>
      <w:r>
        <w:rPr>
          <w:b/>
        </w:rPr>
        <w:t>BNetzA-Einschätzung:</w:t>
      </w:r>
      <w:r>
        <w:t xml:space="preserve"> Struktureller, kein einmaliger Verstoß.</w:t>
      </w:r>
    </w:p>
    <w:p/>
    <w:p>
      <w:pPr>
        <w:pStyle w:val="Heading3"/>
      </w:pPr>
      <w:r>
        <w:rPr>
          <w:rFonts w:ascii="Times New Roman" w:hAnsi="Times New Roman"/>
        </w:rPr>
        <w:t>Verstoß 2: Fehlende Non-Profiling-Option beim Empfehlungsalgorithmus (Art. 27 DSA)</w:t>
      </w:r>
    </w:p>
    <w:p>
      <w:pPr>
        <w:jc w:val="left"/>
      </w:pPr>
      <w:r>
        <w:rPr>
          <w:b/>
        </w:rPr>
        <w:t>Sachverhalt:</w:t>
      </w:r>
      <w:r>
        <w:t xml:space="preserve"> Halmweise.de bot bis März 2026 ausschließlich den personalisierten HalmRank-Feed an; eine profilierungsfreie Alternative fehlte.</w:t>
      </w:r>
    </w:p>
    <w:p>
      <w:pPr>
        <w:jc w:val="left"/>
      </w:pPr>
      <w:r>
        <w:rPr>
          <w:b/>
        </w:rPr>
        <w:t>Rechtliche Einordnung:</w:t>
      </w:r>
      <w:r>
        <w:t xml:space="preserve"> Art. 27 Abs. 1 lit. b DSA — Pflicht zur Bereitstellung mindestens einer nicht auf Profiling basierenden Option.</w:t>
      </w:r>
    </w:p>
    <w:p>
      <w:pPr>
        <w:jc w:val="left"/>
      </w:pPr>
      <w:r>
        <w:rPr>
          <w:b/>
        </w:rPr>
        <w:t>BNetzA-Einschätzung:</w:t>
      </w:r>
      <w:r>
        <w:t xml:space="preserve"> Klarer Verstoß, da die Pflicht seit VLOP-Pflichtenbeginn besteht (keine Übergangsfrist).</w:t>
      </w:r>
    </w:p>
    <w:p/>
    <w:p>
      <w:pPr>
        <w:pStyle w:val="Heading3"/>
      </w:pPr>
      <w:r>
        <w:rPr>
          <w:rFonts w:ascii="Times New Roman" w:hAnsi="Times New Roman"/>
        </w:rPr>
        <w:t>Verstoß 3: Unvollständiges Werbeanzeigen-Repository (Art. 39 DSA)</w:t>
      </w:r>
    </w:p>
    <w:p>
      <w:pPr>
        <w:jc w:val="left"/>
      </w:pPr>
      <w:r>
        <w:rPr>
          <w:b/>
        </w:rPr>
        <w:t>Sachverhalt:</w:t>
      </w:r>
      <w:r>
        <w:t xml:space="preserve"> Lücken im Repository für Januar bis September 2025 (vgl. Aktenstück 11).</w:t>
      </w:r>
    </w:p>
    <w:p>
      <w:pPr>
        <w:jc w:val="left"/>
      </w:pPr>
      <w:r>
        <w:rPr>
          <w:b/>
        </w:rPr>
        <w:t>Rechtliche Einordnung:</w:t>
      </w:r>
      <w:r>
        <w:t xml:space="preserve"> Art. 39 Abs. 2 DSA — lückenlose Dokumentation aller Anzeigen der letzten 12 Monate.</w:t>
      </w:r>
    </w:p>
    <w:p>
      <w:pPr>
        <w:jc w:val="left"/>
      </w:pPr>
      <w:r>
        <w:rPr>
          <w:b/>
        </w:rPr>
        <w:t>BNetzA-Einschätzung:</w:t>
      </w:r>
      <w:r>
        <w:t xml:space="preserve"> Gradueller Verstoß; Rückfüllung möglich und gefordert.</w:t>
      </w:r>
    </w:p>
    <w:p/>
    <w:p>
      <w:pPr>
        <w:pStyle w:val="Heading3"/>
      </w:pPr>
      <w:r>
        <w:rPr>
          <w:rFonts w:ascii="Times New Roman" w:hAnsi="Times New Roman"/>
        </w:rPr>
        <w:t>Verstoß 4: Verweigerung Datenzugang für Forscher (Art. 40 DSA)</w:t>
      </w:r>
    </w:p>
    <w:p>
      <w:pPr>
        <w:jc w:val="left"/>
      </w:pPr>
      <w:r>
        <w:rPr>
          <w:b/>
        </w:rPr>
        <w:t>Sachverhalt:</w:t>
      </w:r>
      <w:r>
        <w:t xml:space="preserve"> Ablehnung des Antrags Prof. Dr. Müller-Kaminski ohne angemessene Prüfung von Alternativlösungen.</w:t>
      </w:r>
    </w:p>
    <w:p>
      <w:pPr>
        <w:jc w:val="left"/>
      </w:pPr>
      <w:r>
        <w:rPr>
          <w:b/>
        </w:rPr>
        <w:t>Rechtliche Einordnung:</w:t>
      </w:r>
      <w:r>
        <w:t xml:space="preserve"> Art. 40 DSA — Recht akkreditierter Forscher auf Datenzugang.</w:t>
      </w:r>
    </w:p>
    <w:p>
      <w:pPr>
        <w:jc w:val="left"/>
      </w:pPr>
      <w:r>
        <w:rPr>
          <w:b/>
        </w:rPr>
        <w:t>BNetzA-Einschätzung:</w:t>
      </w:r>
      <w:r>
        <w:t xml:space="preserve"> Rechtlich angreifbare Ablehnung; geplante Wiederholung bei zukünftigen Anträgen wäre bußgeldbewehrt.</w:t>
      </w:r>
    </w:p>
    <w:p/>
    <w:p>
      <w:pPr>
        <w:pStyle w:val="Heading2"/>
      </w:pPr>
      <w:r>
        <w:rPr>
          <w:rFonts w:ascii="Times New Roman" w:hAnsi="Times New Roman"/>
        </w:rPr>
        <w:t>3. Verfahrensrechtliche Einordnung</w:t>
      </w:r>
    </w:p>
    <w:p>
      <w:pPr>
        <w:pStyle w:val="Heading3"/>
      </w:pPr>
      <w:r>
        <w:rPr>
          <w:rFonts w:ascii="Times New Roman" w:hAnsi="Times New Roman"/>
        </w:rPr>
        <w:t>3.1 Rechtsgrundlage Mahnverfahren</w:t>
      </w:r>
    </w:p>
    <w:p>
      <w:pPr>
        <w:jc w:val="left"/>
      </w:pPr>
      <w:r>
        <w:t>Art. 51 Abs. 1 DSA erlaubt dem DSC, förmliche Maßnahmen zu ergreifen, wenn er feststellt, dass ein Anbieter gegen die DSA-Verpflichtungen verstoßen hat. Das Mahnverfahren ist der formale Einstieg, dem ggf. Zwangsgelder (Art. 52 DSA) oder die Einschaltung der Kommission (Art. 56 DSA bei VLOP) folgen können.</w:t>
      </w:r>
    </w:p>
    <w:p>
      <w:pPr>
        <w:pStyle w:val="Heading3"/>
      </w:pPr>
      <w:r>
        <w:rPr>
          <w:rFonts w:ascii="Times New Roman" w:hAnsi="Times New Roman"/>
        </w:rPr>
        <w:t>3.2 Antwortfrist</w:t>
      </w:r>
    </w:p>
    <w:p>
      <w:pPr>
        <w:jc w:val="left"/>
      </w:pPr>
      <w:r>
        <w:t xml:space="preserve">Frist für Stellungnahme: </w:t>
      </w:r>
      <w:r>
        <w:rPr>
          <w:b/>
        </w:rPr>
        <w:t>30. April 2026</w:t>
      </w:r>
      <w:r>
        <w:t xml:space="preserve">. Die Stellungnahme wird als DOCX erstellt (vgl. </w:t>
      </w:r>
      <w:r>
        <w:t>docx/stellungnahme_bnetza_dsc_mahnverfahren.docx</w:t>
      </w:r>
      <w:r>
        <w:t>).</w:t>
      </w:r>
    </w:p>
    <w:p>
      <w:pPr>
        <w:pStyle w:val="Heading3"/>
      </w:pPr>
      <w:r>
        <w:rPr>
          <w:rFonts w:ascii="Times New Roman" w:hAnsi="Times New Roman"/>
        </w:rPr>
        <w:t>3.3 Mögliche Eskalationsstufen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Auslöser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51 Abs. 1 DSA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Festgestellte Verstöße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Zwangsgeld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52 DSA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Abhilfe nach Mahnung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Empfehlung an 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60 DSA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Hartnäckige VLOP-Verstöße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Geldbußenverfahren 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74 DSA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Schwerwiegende/wiederholte Verstöße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Verhandlungsstrategie</w:t>
      </w:r>
    </w:p>
    <w:p>
      <w:pPr>
        <w:pStyle w:val="Heading3"/>
      </w:pPr>
      <w:r>
        <w:rPr>
          <w:rFonts w:ascii="Times New Roman" w:hAnsi="Times New Roman"/>
        </w:rPr>
        <w:t>4.1 Taktische Ausgangslage</w:t>
      </w:r>
    </w:p>
    <w:p>
      <w:pPr>
        <w:jc w:val="left"/>
      </w:pPr>
      <w:r>
        <w:t>Die vier Verstöße sind in unterschiedlichem Maß angreifbar:</w:t>
      </w:r>
    </w:p>
    <w:p>
      <w:pPr>
        <w:pStyle w:val="ListBullet"/>
      </w:pPr>
      <w:r>
        <w:t>Verstoß 1 und 2 sind faktisch schwer zu bestreiten; Fokus auf Zukunftsperspektive.</w:t>
      </w:r>
    </w:p>
    <w:p>
      <w:pPr>
        <w:pStyle w:val="ListBullet"/>
      </w:pPr>
      <w:r>
        <w:t>Verstoß 3 (Repository) ist als technisches Versehen darstellbar; Rückfüllungsplan entkräftet.</w:t>
      </w:r>
    </w:p>
    <w:p>
      <w:pPr>
        <w:pStyle w:val="ListBullet"/>
      </w:pPr>
      <w:r>
        <w:t>Verstoß 4 (Forschungszugang) hat die stärksten Verteidigungsargumente (Datenschutz, Geschäftsgeheimnisse).</w:t>
      </w:r>
    </w:p>
    <w:p>
      <w:pPr>
        <w:pStyle w:val="Heading3"/>
      </w:pPr>
      <w:r>
        <w:rPr>
          <w:rFonts w:ascii="Times New Roman" w:hAnsi="Times New Roman"/>
        </w:rPr>
        <w:t>4.2 Stellungnahme-Empfehlungen</w:t>
      </w:r>
    </w:p>
    <w:p>
      <w:pPr>
        <w:pStyle w:val="ListNumber"/>
      </w:pPr>
      <w:r>
        <w:rPr>
          <w:b/>
        </w:rPr>
        <w:t>Kooperative Haltung:</w:t>
      </w:r>
      <w:r>
        <w:t xml:space="preserve"> Verstoßvorwürfe grundsätzlich anerkennen, aber Nuancen herausstellen.</w:t>
      </w:r>
    </w:p>
    <w:p>
      <w:pPr>
        <w:pStyle w:val="ListNumber"/>
      </w:pPr>
      <w:r>
        <w:rPr>
          <w:b/>
        </w:rPr>
        <w:t>Maßnahmenplan vorlegen:</w:t>
      </w:r>
      <w:r>
        <w:t xml:space="preserve"> Konkreter Zeitplan für Abhilfe aller Punkte; zeigt guten Willen.</w:t>
      </w:r>
    </w:p>
    <w:p>
      <w:pPr>
        <w:pStyle w:val="ListNumber"/>
      </w:pPr>
      <w:r>
        <w:rPr>
          <w:b/>
        </w:rPr>
        <w:t>Abschwächung der Bußgeldgrundlage:</w:t>
      </w:r>
      <w:r>
        <w:t xml:space="preserve"> Darlegung, dass Verstöße unbeabsichtigt waren und sofortige Abhilfe eingeleitet wurde.</w:t>
      </w:r>
    </w:p>
    <w:p>
      <w:pPr>
        <w:pStyle w:val="ListNumber"/>
      </w:pPr>
      <w:r>
        <w:rPr>
          <w:b/>
        </w:rPr>
        <w:t>Forschungszugang:</w:t>
      </w:r>
      <w:r>
        <w:t xml:space="preserve"> Gestufte Datenzugangsvereinbarung als Lösungsangebot unterbreiten.</w:t>
      </w:r>
    </w:p>
    <w:p/>
    <w:p>
      <w:pPr>
        <w:pStyle w:val="Heading2"/>
      </w:pPr>
      <w:r>
        <w:rPr>
          <w:rFonts w:ascii="Times New Roman" w:hAnsi="Times New Roman"/>
        </w:rPr>
        <w:t>5. Rechtsgrundlagen</w:t>
      </w:r>
    </w:p>
    <w:p>
      <w:pPr>
        <w:pStyle w:val="ListBullet"/>
      </w:pPr>
      <w:r>
        <w:t>Art. 51, 52, 56, 60 DSA (EU) 2022/2065</w:t>
      </w:r>
    </w:p>
    <w:p>
      <w:pPr>
        <w:pStyle w:val="ListBullet"/>
      </w:pPr>
      <w:r>
        <w:t>Art. 74 DSA — Geldbußen</w:t>
      </w:r>
    </w:p>
    <w:p>
      <w:pPr>
        <w:pStyle w:val="ListBullet"/>
      </w:pPr>
      <w:r>
        <w:t>§ 7 DDG — Nationale Mahnverfahrensvorschrift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>
      <w:pPr>
        <w:pStyle w:val="ListBullet"/>
      </w:pPr>
      <w:r>
        <w:t>Digitale-Dienste-Gesetz (DDG), dejure.org: https://dejure.org/gesetze/DDG</w:t>
      </w:r>
    </w:p>
    <w:p/>
    <w:p>
      <w:pPr>
        <w:jc w:val="left"/>
      </w:pPr>
      <w:r>
        <w:rPr>
          <w:i/>
        </w:rPr>
        <w:t>Bearbeiterin: RAin Dr. Philippa Groth-Steinberg</w:t>
      </w:r>
    </w:p>
    <w:p>
      <w:pPr>
        <w:jc w:val="left"/>
      </w:pPr>
      <w:r>
        <w:rPr>
          <w:i/>
        </w:rPr>
        <w:t>Stand: 12.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