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15 — DMA-Abgrenzung: Gatekeeper-Ablehnung nach Art. 3 DMA</w:t>
      </w:r>
    </w:p>
    <w:p>
      <w:pPr>
        <w:jc w:val="left"/>
      </w:pPr>
      <w:r>
        <w:rPr>
          <w:b/>
        </w:rPr>
        <w:t>Az. Kanzlei:</w:t>
      </w:r>
      <w:r>
        <w:t xml:space="preserve"> KRS-2026-0318-DSA</w:t>
      </w:r>
    </w:p>
    <w:p>
      <w:pPr>
        <w:jc w:val="left"/>
      </w:pPr>
      <w:r>
        <w:rPr>
          <w:b/>
        </w:rPr>
        <w:t>Bearbeitung:</w:t>
      </w:r>
      <w:r>
        <w:t xml:space="preserve"> RA Felix Wendland</w:t>
      </w:r>
    </w:p>
    <w:p>
      <w:pPr>
        <w:jc w:val="left"/>
      </w:pPr>
      <w:r>
        <w:rPr>
          <w:b/>
        </w:rPr>
        <w:t>Stand:</w:t>
      </w:r>
      <w:r>
        <w:t xml:space="preserve"> 14. April 2026</w:t>
      </w:r>
    </w:p>
    <w:p/>
    <w:p>
      <w:pPr>
        <w:pStyle w:val="Heading2"/>
      </w:pPr>
      <w:r>
        <w:rPr>
          <w:rFonts w:ascii="Times New Roman" w:hAnsi="Times New Roman"/>
        </w:rPr>
        <w:t>1. Normgrundlage DMA</w:t>
      </w:r>
    </w:p>
    <w:p>
      <w:pPr>
        <w:jc w:val="left"/>
      </w:pPr>
      <w:r>
        <w:t>Die Verordnung (EU) 2022/1925 über bestreitbare und faire Märkte im digitalen Sektor (Digital Markets Act, DMA) richtet sich an Anbieter sogenannter zentraler Plattformdienste (Core Platform Services, CPS) nach Art. 2 Nr. 2 DMA. Wer die Schwellenwerte des Art. 3 Abs. 2 DMA überschreitet, wird als Gatekeeper designiert und unterliegt den Verhaltenspflichten der Art. 5-7 DMA.</w:t>
      </w:r>
    </w:p>
    <w:p/>
    <w:p>
      <w:pPr>
        <w:pStyle w:val="Heading2"/>
      </w:pPr>
      <w:r>
        <w:rPr>
          <w:rFonts w:ascii="Times New Roman" w:hAnsi="Times New Roman"/>
        </w:rPr>
        <w:t>2. Designationsverfahren und Ablehnungsbescheid</w:t>
      </w:r>
    </w:p>
    <w:p>
      <w:pPr>
        <w:jc w:val="left"/>
      </w:pPr>
      <w:r>
        <w:t>Halmweise.de bietet neben der sozialen Plattform (Art. 2 Nr. 2 lit. g DMA: "soziale Netzwerkdienste") seit November 2024 ein ergänzendes Marketplace-Modul (HalmMarkt) an, über das Nutzer nachhaltige Produkte kaufen und verkaufen können (Art. 2 Nr. 2 lit. f DMA: "Online-Vermittlungsdienste"). Die Kommission hat am 10. März 2026 den Gatekeeper-Antrag der Kommission ex officio für beide Dienste abgelehnt:</w:t>
      </w:r>
    </w:p>
    <w:p>
      <w:pPr>
        <w:jc w:val="left"/>
      </w:pPr>
      <w:r>
        <w:rPr>
          <w:b/>
        </w:rPr>
        <w:t>Az. Ablehnungsbescheid:</w:t>
      </w:r>
      <w:r>
        <w:t xml:space="preserve"> DMA/C3/2026/GK-ABLEHNUNG-HALMWEISE</w:t>
      </w:r>
    </w:p>
    <w:p>
      <w:pPr>
        <w:jc w:val="left"/>
      </w:pPr>
      <w:r>
        <w:rPr>
          <w:b/>
        </w:rPr>
        <w:t>Datum:</w:t>
      </w:r>
      <w:r>
        <w:t xml:space="preserve"> 10. März 2026</w:t>
      </w:r>
    </w:p>
    <w:p>
      <w:pPr>
        <w:jc w:val="left"/>
      </w:pPr>
      <w:r>
        <w:rPr>
          <w:b/>
        </w:rPr>
        <w:t>Veröffentlicht:</w:t>
      </w:r>
      <w:r>
        <w:t xml:space="preserve"> Amtsblatt der EU (L) vom 12.03.2026</w:t>
      </w:r>
    </w:p>
    <w:p/>
    <w:p>
      <w:pPr>
        <w:pStyle w:val="Heading2"/>
      </w:pPr>
      <w:r>
        <w:rPr>
          <w:rFonts w:ascii="Times New Roman" w:hAnsi="Times New Roman"/>
        </w:rPr>
        <w:t>3. Quantitative Schwellenwerte (Art. 3 Abs. 2 DMA)</w:t>
      </w:r>
    </w:p>
    <w:p>
      <w:pPr>
        <w:jc w:val="left"/>
      </w:pPr>
      <w:r>
        <w:t>Für die Designation als Gatekeeper gelten drei Schwellenwerte (kumulativ):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Schwellenwert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Art. 3 Abs. 2 DMA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Halmweise.de (Ist)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Erfüllt?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Umsatz EWR ≥ 7,5 Mrd. EUR p.a. (Durchschnitt 3 Jahre)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lit. 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520 Mio. EUR (2025)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Marktkapitalisierung ≥ 75 Mrd.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lit. a (alternativ)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börsennotiert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Aktive Nutzer CPS ≥ 45 Mio. monatlich (EU)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lit. 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Soziales Netzwerk: 51 Mio.; HalmMarkt: 3,2 Mio.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Aktive gewerbliche Nutzer CPS ≥ 10.000 jährlich (EU)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lit. 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Soziales Netzwerk: n/a; HalmMarkt: 8.100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(knapp)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Die finanziellen Schwellenwerte (lit. a) werden von Körnerstrom Social GmbH deutlich unterschritten. Für das soziale Netzwerk wird nur der Nutzerschwellenwert (lit. b) mit 51 Mio. überschritten; der Finanzschwellenwert nicht. Für HalmMarkt werden weder der finanzielle noch der gewerbliche Nutzerschwellenwert erreicht.</w:t>
      </w:r>
    </w:p>
    <w:p>
      <w:pPr>
        <w:jc w:val="left"/>
      </w:pPr>
      <w:r>
        <w:t>Die Kommission hat daher zu Recht die Designation abgelehnt.</w:t>
      </w:r>
    </w:p>
    <w:p/>
    <w:p>
      <w:pPr>
        <w:pStyle w:val="Heading2"/>
      </w:pPr>
      <w:r>
        <w:rPr>
          <w:rFonts w:ascii="Times New Roman" w:hAnsi="Times New Roman"/>
        </w:rPr>
        <w:t>4. Qualitative Prüfung und Rebuttable Presumption</w:t>
      </w:r>
    </w:p>
    <w:p>
      <w:pPr>
        <w:jc w:val="left"/>
      </w:pPr>
      <w:r>
        <w:t>Art. 3 Abs. 2 DMA kennt eine widerlegliche Vermutung: Wer alle drei quantitativen Schwellenwerte erfüllt, gilt als Gatekeeper — vorbehaltlich einer Widerlegung nach Art. 3 Abs. 5 DMA. Da die Schwellenwerte nicht alle erfüllt sind, greift diese Vermutung hier nicht.</w:t>
      </w:r>
    </w:p>
    <w:p>
      <w:pPr>
        <w:jc w:val="left"/>
      </w:pPr>
      <w:r>
        <w:t>Die Kommission kann nach Art. 3 Abs. 8 DMA auch bei Nichterfüllung der quantitativen Schwellenwerte eine Gatekeeper-Designation vornehmen, wenn qualitativ ein systemischer Charakter vorliegt. Die Kommission hat dies für Halmweise.de mangels ausreichender Marktmacht und Hebeleffekte abgelehnt.</w:t>
      </w:r>
    </w:p>
    <w:p/>
    <w:p>
      <w:pPr>
        <w:pStyle w:val="Heading2"/>
      </w:pPr>
      <w:r>
        <w:rPr>
          <w:rFonts w:ascii="Times New Roman" w:hAnsi="Times New Roman"/>
        </w:rPr>
        <w:t>5. Abgrenzung DSA vs. DMA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DSA (EU) 2022/2065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DMA (EU) 2022/1925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 digitaler Dienste, illegale Inhalte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Bestreitbarkeit und Fairness digitaler Märkte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Adressaten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Vermittlungsdienste; verschärft für VLOPs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Gatekeeper zentraler Plattformdienste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Marktmachtbezug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Irrelevant (nur Nutzerzahl zählt)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Zentral (Marktmacht, Umsatz, Nutzer kumulativ)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Behörden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Kommission + DSC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Kommission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Geldbußen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6% des weltweiten Jahresumsatzes (Art. 74 DSA)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10% des weltweiten Jahresumsatzes (Art. 26 DMA)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Praktische Konsequenzen der DMA-Ablehnung</w:t>
      </w:r>
    </w:p>
    <w:p>
      <w:pPr>
        <w:pStyle w:val="ListBullet"/>
      </w:pPr>
      <w:r>
        <w:rPr>
          <w:b/>
        </w:rPr>
        <w:t>Entlastung:</w:t>
      </w:r>
      <w:r>
        <w:t xml:space="preserve"> Halmweise.de unterliegt nicht den erheblichen Interoperabilitäts-, Datenportabilitäts- und Selbstbevorzugungsverboten der Art. 5-7 DMA.</w:t>
      </w:r>
    </w:p>
    <w:p>
      <w:pPr>
        <w:pStyle w:val="ListBullet"/>
      </w:pPr>
      <w:r>
        <w:rPr>
          <w:b/>
        </w:rPr>
        <w:t>HalmMarkt weiter ausbaubar:</w:t>
      </w:r>
      <w:r>
        <w:t xml:space="preserve"> Der Marketplace kann ohne die DMA-Beschränkungen (z.B. Art. 5 Abs. 3 DMA: Verbot der Bevorzugung eigener Dienste) expandiert werden.</w:t>
      </w:r>
    </w:p>
    <w:p>
      <w:pPr>
        <w:pStyle w:val="ListBullet"/>
      </w:pPr>
      <w:r>
        <w:rPr>
          <w:b/>
        </w:rPr>
        <w:t>Beobachtungspflicht:</w:t>
      </w:r>
      <w:r>
        <w:t xml:space="preserve"> Bei Überschreiten der Schwellenwerte in Zukunft (insbesondere Umsatzwachstum) droht erneute Designationsprüfung. Monitoring-Pflicht intern einrichten.</w:t>
      </w:r>
    </w:p>
    <w:p/>
    <w:p>
      <w:pPr>
        <w:pStyle w:val="Heading2"/>
      </w:pPr>
      <w:r>
        <w:rPr>
          <w:rFonts w:ascii="Times New Roman" w:hAnsi="Times New Roman"/>
        </w:rPr>
        <w:t>7. Strategische Empfehlung</w:t>
      </w:r>
    </w:p>
    <w:p>
      <w:pPr>
        <w:jc w:val="left"/>
      </w:pPr>
      <w:r>
        <w:t>Die Kanzlei empfiehlt, die Gatekeeper-Ablehnung nicht anzufechten. Die Ablehnung ist für Körnerstrom Social GmbH vorteilhaft und sollte nicht durch eine Anfechtungsklage aus taktischen Erwägungen in Frage gestellt werden.</w:t>
      </w:r>
    </w:p>
    <w:p>
      <w:pPr>
        <w:jc w:val="left"/>
      </w:pPr>
      <w:r>
        <w:t>Gleichzeitig sollte ein internes Monitoring-System implementiert werden, das bei Annäherung an die DMA-Schwellenwerte einen Frühwarnmechanismus auslöst.</w:t>
      </w:r>
    </w:p>
    <w:p/>
    <w:p>
      <w:pPr>
        <w:pStyle w:val="Heading2"/>
      </w:pPr>
      <w:r>
        <w:rPr>
          <w:rFonts w:ascii="Times New Roman" w:hAnsi="Times New Roman"/>
        </w:rPr>
        <w:t>8. Rechtsgrundlagen</w:t>
      </w:r>
    </w:p>
    <w:p>
      <w:pPr>
        <w:pStyle w:val="ListBullet"/>
      </w:pPr>
      <w:r>
        <w:t>Art. 3 DMA (EU) 2022/1925 — Gatekeeper-Designation</w:t>
      </w:r>
    </w:p>
    <w:p>
      <w:pPr>
        <w:pStyle w:val="ListBullet"/>
      </w:pPr>
      <w:r>
        <w:t>Art. 5-7 DMA — Verhaltenspflichten für Gatekeeper</w:t>
      </w:r>
    </w:p>
    <w:p>
      <w:pPr>
        <w:pStyle w:val="ListBullet"/>
      </w:pPr>
      <w:r>
        <w:t>Art. 26 DMA — Geldbußen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Verordnung (EU) 2022/1925 (DMA), EUR-Lex: https://eur-lex.europa.eu/legal-content/DE/TXT/?uri=CELEX%3A32022R1925</w:t>
      </w:r>
    </w:p>
    <w:p/>
    <w:p>
      <w:pPr>
        <w:jc w:val="left"/>
      </w:pPr>
      <w:r>
        <w:rPr>
          <w:i/>
        </w:rPr>
        <w:t>Bearbeitung: RA Felix Wendland</w:t>
      </w:r>
    </w:p>
    <w:p>
      <w:pPr>
        <w:jc w:val="left"/>
      </w:pPr>
      <w:r>
        <w:rPr>
          <w:i/>
        </w:rPr>
        <w:t>Stand: 14. April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