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Bußgeldsimulation nach Art. 74 DSA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RAin Dr. Philippa Groth-Steinberg, RA Felix Wendland</w:t>
      </w:r>
    </w:p>
    <w:p>
      <w:pPr>
        <w:jc w:val="left"/>
      </w:pPr>
      <w:r>
        <w:rPr>
          <w:b/>
        </w:rPr>
        <w:t>Stand:</w:t>
      </w:r>
      <w:r>
        <w:t xml:space="preserve"> 15. April 2026</w:t>
      </w:r>
    </w:p>
    <w:p/>
    <w:p>
      <w:pPr>
        <w:pStyle w:val="Heading2"/>
      </w:pPr>
      <w:r>
        <w:rPr>
          <w:rFonts w:ascii="Times New Roman" w:hAnsi="Times New Roman"/>
        </w:rPr>
        <w:t>1. Normgrundlage Geldbußen</w:t>
      </w:r>
    </w:p>
    <w:p>
      <w:pPr>
        <w:jc w:val="left"/>
      </w:pPr>
      <w:r>
        <w:t>Art. 74 DSA regelt die Geldbußen der Europäischen Kommission. Der DSC kann nach nationalem Recht Bußgelder verhängen (§ 8 ff. DDG); bei VLOPs ist die Kommission primär zuständig für schwerwiegende und wiederholte Verstöße (Art. 56 DSA). Für das BNetzA-Mahnverfahren gilt zunächst das DSC-Sanktionsregime.</w:t>
      </w:r>
    </w:p>
    <w:p/>
    <w:p>
      <w:pPr>
        <w:pStyle w:val="Heading2"/>
      </w:pPr>
      <w:r>
        <w:rPr>
          <w:rFonts w:ascii="Times New Roman" w:hAnsi="Times New Roman"/>
        </w:rPr>
        <w:t>2. Bußgeldrahmen (Art. 74 DSA)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Verstoßkategorie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Bußgeldrahmen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Verstoß gegen Pflichten (Art. 11-47 DSA)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6% des weltweiten Jahresumsatzes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Unrichtige, unvollständige oder irreführende Angaben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1% des weltweiten Jahresumsatzes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Nichteinhaltung einstweiliger Maßnahmen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5% des täglichen Jahresumsatzes (pro Tag)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Wiederholter Verstoß (innerhalb 5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12% des weltweiten Jahresumsatzes (Art. 74 Abs. 3 DSA)</w:t>
            </w:r>
          </w:p>
        </w:tc>
      </w:tr>
    </w:tbl>
    <w:p>
      <w:pPr>
        <w:jc w:val="left"/>
      </w:pPr>
      <w:r>
        <w:rPr>
          <w:b/>
        </w:rPr>
        <w:t>Bemessungsgrundlage:</w:t>
      </w:r>
      <w:r>
        <w:t xml:space="preserve"> Weltweiter Jahresumsatz. Für Körnerstrom Social GmbH wird der Jahresumsatz 2025 mit 520 Mio. EUR angesetzt (Deutschland 70%, EU-Ausland 20%, Rest 10% → Weltweitumsatz ca. 570 Mio. EUR inkl. nicht-EU-Erlöse).</w:t>
      </w:r>
    </w:p>
    <w:p/>
    <w:p>
      <w:pPr>
        <w:pStyle w:val="Heading2"/>
      </w:pPr>
      <w:r>
        <w:rPr>
          <w:rFonts w:ascii="Times New Roman" w:hAnsi="Times New Roman"/>
        </w:rPr>
        <w:t>3. Bußgeldsimulation für aktuelle Verstöße</w:t>
      </w:r>
    </w:p>
    <w:p>
      <w:pPr>
        <w:pStyle w:val="Heading3"/>
      </w:pPr>
      <w:r>
        <w:rPr>
          <w:rFonts w:ascii="Times New Roman" w:hAnsi="Times New Roman"/>
        </w:rPr>
        <w:t>3.1 Verstoß 1 — Notice-and-Action (Art. 16 DSA)</w:t>
      </w:r>
    </w:p>
    <w:p>
      <w:pPr>
        <w:jc w:val="left"/>
      </w:pPr>
      <w:r>
        <w:rPr>
          <w:b/>
        </w:rPr>
        <w:t>Kategorisierung:</w:t>
      </w:r>
      <w:r>
        <w:t xml:space="preserve"> Verstoß gegen Pflichten nach Art. 16 DSA — Bußgeldrahmen bis 6%.</w:t>
      </w:r>
    </w:p>
    <w:p>
      <w:pPr>
        <w:jc w:val="left"/>
      </w:pPr>
      <w:r>
        <w:rPr>
          <w:b/>
        </w:rPr>
        <w:t>Mildernde Umstände:</w:t>
      </w:r>
    </w:p>
    <w:p>
      <w:pPr>
        <w:pStyle w:val="ListBullet"/>
      </w:pPr>
      <w:r>
        <w:t>Erstverstoß (keine Vorgeschichte)</w:t>
      </w:r>
    </w:p>
    <w:p>
      <w:pPr>
        <w:pStyle w:val="ListBullet"/>
      </w:pPr>
      <w:r>
        <w:t>Kooperation mit BNetzA</w:t>
      </w:r>
    </w:p>
    <w:p>
      <w:pPr>
        <w:pStyle w:val="ListBullet"/>
      </w:pPr>
      <w:r>
        <w:t>Unmittelbar nach Mandatsannahme eingeleitet Abhilfemaßnahmen</w:t>
      </w:r>
    </w:p>
    <w:p>
      <w:pPr>
        <w:jc w:val="left"/>
      </w:pPr>
      <w:r>
        <w:rPr>
          <w:b/>
        </w:rPr>
        <w:t>Erschwerenden Umstände:</w:t>
      </w:r>
    </w:p>
    <w:p>
      <w:pPr>
        <w:pStyle w:val="ListBullet"/>
      </w:pPr>
      <w:r>
        <w:t>Struktureller, nicht einmaliger Charakter</w:t>
      </w:r>
    </w:p>
    <w:p>
      <w:pPr>
        <w:pStyle w:val="ListBullet"/>
      </w:pPr>
      <w:r>
        <w:t>51 Mio. Nutzer betroffen</w:t>
      </w:r>
    </w:p>
    <w:p>
      <w:pPr>
        <w:pStyle w:val="ListBullet"/>
      </w:pPr>
      <w:r>
        <w:t>Zeitraum: 5 Monate (Okt. 2025 – Feb. 2026)</w:t>
      </w:r>
    </w:p>
    <w:p>
      <w:pPr>
        <w:jc w:val="left"/>
      </w:pPr>
      <w:r>
        <w:rPr>
          <w:b/>
        </w:rPr>
        <w:t>Geschätzte Bußgelderwartung:</w:t>
      </w:r>
      <w:r>
        <w:t xml:space="preserve"> 0,8–2,5% des weltweiten Jahresumsatzes = ca. 4,6–14,3 Mio. EUR</w:t>
      </w:r>
    </w:p>
    <w:p/>
    <w:p>
      <w:pPr>
        <w:pStyle w:val="Heading3"/>
      </w:pPr>
      <w:r>
        <w:rPr>
          <w:rFonts w:ascii="Times New Roman" w:hAnsi="Times New Roman"/>
        </w:rPr>
        <w:t>3.2 Verstoß 2 — Fehlende Non-Profiling-Option (Art. 27 DSA)</w:t>
      </w:r>
    </w:p>
    <w:p>
      <w:pPr>
        <w:jc w:val="left"/>
      </w:pPr>
      <w:r>
        <w:rPr>
          <w:b/>
        </w:rPr>
        <w:t>Kategorisierung:</w:t>
      </w:r>
      <w:r>
        <w:t xml:space="preserve"> Verstoß gegen Art. 27 Abs. 1 lit. b DSA — Bußgeldrahmen bis 6%.</w:t>
      </w:r>
    </w:p>
    <w:p>
      <w:pPr>
        <w:jc w:val="left"/>
      </w:pPr>
      <w:r>
        <w:rPr>
          <w:b/>
        </w:rPr>
        <w:t>Mildernde Umstände:</w:t>
      </w:r>
    </w:p>
    <w:p>
      <w:pPr>
        <w:pStyle w:val="ListBullet"/>
      </w:pPr>
      <w:r>
        <w:t>Art. 27-Non-Profiling-Pflicht erstmals mit VLOP-Designation wirksam; kurzer Verstoßzeitraum</w:t>
      </w:r>
    </w:p>
    <w:p>
      <w:pPr>
        <w:pStyle w:val="ListBullet"/>
      </w:pPr>
      <w:r>
        <w:t>Implementierungsplan liegt vor</w:t>
      </w:r>
    </w:p>
    <w:p>
      <w:pPr>
        <w:jc w:val="left"/>
      </w:pPr>
      <w:r>
        <w:rPr>
          <w:b/>
        </w:rPr>
        <w:t>Erschwerenden Umstände:</w:t>
      </w:r>
    </w:p>
    <w:p>
      <w:pPr>
        <w:pStyle w:val="ListBullet"/>
      </w:pPr>
      <w:r>
        <w:t>Betrifft 51 Mio. Nutzer (Profiling-Recht)</w:t>
      </w:r>
    </w:p>
    <w:p>
      <w:pPr>
        <w:pStyle w:val="ListBullet"/>
      </w:pPr>
      <w:r>
        <w:t>Grundrechtliche Relevanz (Meinungsfreiheit, informationelle Selbstbestimmung)</w:t>
      </w:r>
    </w:p>
    <w:p>
      <w:pPr>
        <w:jc w:val="left"/>
      </w:pPr>
      <w:r>
        <w:rPr>
          <w:b/>
        </w:rPr>
        <w:t>Geschätzte Bußgelderwartung:</w:t>
      </w:r>
      <w:r>
        <w:t xml:space="preserve"> 0,5–1,5% = ca. 2,9–8,6 Mio. EUR</w:t>
      </w:r>
    </w:p>
    <w:p/>
    <w:p>
      <w:pPr>
        <w:pStyle w:val="Heading3"/>
      </w:pPr>
      <w:r>
        <w:rPr>
          <w:rFonts w:ascii="Times New Roman" w:hAnsi="Times New Roman"/>
        </w:rPr>
        <w:t>3.3 Verstoß 3 — Unvollständiges Werbeanzeigen-Repository (Art. 39 DSA)</w:t>
      </w:r>
    </w:p>
    <w:p>
      <w:pPr>
        <w:jc w:val="left"/>
      </w:pPr>
      <w:r>
        <w:rPr>
          <w:b/>
        </w:rPr>
        <w:t>Kategorisierung:</w:t>
      </w:r>
      <w:r>
        <w:t xml:space="preserve"> Verstoß gegen Art. 39 DSA — Bußgeldrahmen bis 6%.</w:t>
      </w:r>
    </w:p>
    <w:p>
      <w:pPr>
        <w:jc w:val="left"/>
      </w:pPr>
      <w:r>
        <w:rPr>
          <w:b/>
        </w:rPr>
        <w:t>Mildernde Umstände:</w:t>
      </w:r>
    </w:p>
    <w:p>
      <w:pPr>
        <w:pStyle w:val="ListBullet"/>
      </w:pPr>
      <w:r>
        <w:t>Technischer Ausfall als Teilursache dokumentierbar</w:t>
      </w:r>
    </w:p>
    <w:p>
      <w:pPr>
        <w:pStyle w:val="ListBullet"/>
      </w:pPr>
      <w:r>
        <w:t>Rückfüllungsplan vorgelegt</w:t>
      </w:r>
    </w:p>
    <w:p>
      <w:pPr>
        <w:jc w:val="left"/>
      </w:pPr>
      <w:r>
        <w:rPr>
          <w:b/>
        </w:rPr>
        <w:t>Erschwerenden Umstände:</w:t>
      </w:r>
    </w:p>
    <w:p>
      <w:pPr>
        <w:pStyle w:val="ListBullet"/>
      </w:pPr>
      <w:r>
        <w:t>Öffentliche Transparenzpflicht verletzt; Forscher und Öffentlichkeit betroffen</w:t>
      </w:r>
    </w:p>
    <w:p>
      <w:pPr>
        <w:jc w:val="left"/>
      </w:pPr>
      <w:r>
        <w:rPr>
          <w:b/>
        </w:rPr>
        <w:t>Geschätzte Bußgelderwartung:</w:t>
      </w:r>
      <w:r>
        <w:t xml:space="preserve"> 0,3–0,8% = ca. 1,7–4,6 Mio. EUR</w:t>
      </w:r>
    </w:p>
    <w:p/>
    <w:p>
      <w:pPr>
        <w:pStyle w:val="Heading3"/>
      </w:pPr>
      <w:r>
        <w:rPr>
          <w:rFonts w:ascii="Times New Roman" w:hAnsi="Times New Roman"/>
        </w:rPr>
        <w:t>3.4 Verstoß 4 — Verweigerung Forschungsdatenzugang (Art. 40 DSA)</w:t>
      </w:r>
    </w:p>
    <w:p>
      <w:pPr>
        <w:jc w:val="left"/>
      </w:pPr>
      <w:r>
        <w:rPr>
          <w:b/>
        </w:rPr>
        <w:t>Kategorisierung:</w:t>
      </w:r>
      <w:r>
        <w:t xml:space="preserve"> Verstoß gegen Art. 40 DSA — Bußgeldrahmen bis 6%.</w:t>
      </w:r>
    </w:p>
    <w:p>
      <w:pPr>
        <w:jc w:val="left"/>
      </w:pPr>
      <w:r>
        <w:rPr>
          <w:b/>
        </w:rPr>
        <w:t>Mildernde Umstände:</w:t>
      </w:r>
    </w:p>
    <w:p>
      <w:pPr>
        <w:pStyle w:val="ListBullet"/>
      </w:pPr>
      <w:r>
        <w:t>Starke Datenschutz- und Geschäftsgeheimnis-Argumente; Rechtsfrage nicht eindeutig</w:t>
      </w:r>
    </w:p>
    <w:p>
      <w:pPr>
        <w:pStyle w:val="ListBullet"/>
      </w:pPr>
      <w:r>
        <w:t>Erstverstoß</w:t>
      </w:r>
    </w:p>
    <w:p>
      <w:pPr>
        <w:jc w:val="left"/>
      </w:pPr>
      <w:r>
        <w:rPr>
          <w:b/>
        </w:rPr>
        <w:t>Erschwerenden Umstände:</w:t>
      </w:r>
    </w:p>
    <w:p>
      <w:pPr>
        <w:pStyle w:val="ListBullet"/>
      </w:pPr>
      <w:r>
        <w:t>BNetzA sieht klaren Verstoß</w:t>
      </w:r>
    </w:p>
    <w:p>
      <w:pPr>
        <w:jc w:val="left"/>
      </w:pPr>
      <w:r>
        <w:rPr>
          <w:b/>
        </w:rPr>
        <w:t>Geschätzte Bußgelderwartung:</w:t>
      </w:r>
      <w:r>
        <w:t xml:space="preserve"> 0,2–0,5% = ca. 1,1–2,9 Mio. EUR</w:t>
      </w:r>
    </w:p>
    <w:p/>
    <w:p>
      <w:pPr>
        <w:pStyle w:val="Heading2"/>
      </w:pPr>
      <w:r>
        <w:rPr>
          <w:rFonts w:ascii="Times New Roman" w:hAnsi="Times New Roman"/>
        </w:rPr>
        <w:t>4. Gesamtsimulation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Verstoß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Min. Bußgeld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 Bußgeld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Mittlere Erwartung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16 DSA (Notice-and-Action)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4,6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14,3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9,5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27 DSA (Non-Profiling)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2,9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8,6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5,7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39 DSA (Repository)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1,7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4,6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3,2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40 DSA (Forschungszugang)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1,1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2,9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2,0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10,3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30,4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20,4 Mio. EUR</w:t>
            </w:r>
          </w:p>
        </w:tc>
      </w:tr>
    </w:tbl>
    <w:p>
      <w:pPr>
        <w:jc w:val="left"/>
      </w:pPr>
      <w:r>
        <w:t xml:space="preserve">Ausführliche Berechnung: vgl. XLSX </w:t>
      </w:r>
      <w:r>
        <w:t>xlsx/bussgeldsimulation_dsa_art74.xlsx</w:t>
      </w:r>
    </w:p>
    <w:p/>
    <w:p>
      <w:pPr>
        <w:pStyle w:val="Heading2"/>
      </w:pPr>
      <w:r>
        <w:rPr>
          <w:rFonts w:ascii="Times New Roman" w:hAnsi="Times New Roman"/>
        </w:rPr>
        <w:t>5. Risikominimierungsstrategie</w:t>
      </w:r>
    </w:p>
    <w:p>
      <w:pPr>
        <w:pStyle w:val="ListBullet"/>
      </w:pPr>
      <w:r>
        <w:rPr>
          <w:b/>
        </w:rPr>
        <w:t>Schnelle Abhilfe</w:t>
      </w:r>
      <w:r>
        <w:t xml:space="preserve"> aller vier Verstöße ist der wichtigste Faktor für Bußgeldreduzierung.</w:t>
      </w:r>
    </w:p>
    <w:p>
      <w:pPr>
        <w:pStyle w:val="ListBullet"/>
      </w:pPr>
      <w:r>
        <w:rPr>
          <w:b/>
        </w:rPr>
        <w:t>Dokumentation</w:t>
      </w:r>
      <w:r>
        <w:t xml:space="preserve"> der Abhilfemaßnahmen: jede Maßnahme mit Datum, Verantwortlichem und Wirksamkeitsnachweis.</w:t>
      </w:r>
    </w:p>
    <w:p>
      <w:pPr>
        <w:pStyle w:val="ListBullet"/>
      </w:pPr>
      <w:r>
        <w:rPr>
          <w:b/>
        </w:rPr>
        <w:t>Frühzeitige Kommunikation</w:t>
      </w:r>
      <w:r>
        <w:t xml:space="preserve"> mit BNetzA über Fortschritte.</w:t>
      </w:r>
    </w:p>
    <w:p>
      <w:pPr>
        <w:pStyle w:val="ListBullet"/>
      </w:pPr>
      <w:r>
        <w:rPr>
          <w:b/>
        </w:rPr>
        <w:t>Keine Verharmlosung</w:t>
      </w:r>
      <w:r>
        <w:t xml:space="preserve"> der Verstöße in der Stellungnahme; stattdessen konstruktive Kooperation.</w:t>
      </w:r>
    </w:p>
    <w:p/>
    <w:p>
      <w:pPr>
        <w:pStyle w:val="Heading2"/>
      </w:pPr>
      <w:r>
        <w:rPr>
          <w:rFonts w:ascii="Times New Roman" w:hAnsi="Times New Roman"/>
        </w:rPr>
        <w:t>6. Rechtsgrundlagen</w:t>
      </w:r>
    </w:p>
    <w:p>
      <w:pPr>
        <w:pStyle w:val="ListBullet"/>
      </w:pPr>
      <w:r>
        <w:t>Art. 74 DSA (EU) 2022/2065 — Geldbußen</w:t>
      </w:r>
    </w:p>
    <w:p>
      <w:pPr>
        <w:pStyle w:val="ListBullet"/>
      </w:pPr>
      <w:r>
        <w:t>Art. 56 DSA — VLOP-Enforcement durch Kommission</w:t>
      </w:r>
    </w:p>
    <w:p>
      <w:pPr>
        <w:pStyle w:val="ListBullet"/>
      </w:pPr>
      <w:r>
        <w:t>§ 8 ff. DDG — Nationale Sanktionsvorschriften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/>
    <w:p>
      <w:pPr>
        <w:jc w:val="left"/>
      </w:pPr>
      <w:r>
        <w:rPr>
          <w:i/>
        </w:rPr>
        <w:t>Bearbeitung: RAin Dr. Philippa Groth-Steinberg, RA Felix Wendland</w:t>
      </w:r>
    </w:p>
    <w:p>
      <w:pPr>
        <w:jc w:val="left"/>
      </w:pPr>
      <w:r>
        <w:rPr>
          <w:i/>
        </w:rPr>
        <w:t>Stand: 15.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