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17 — EU-Kommission: Meldepflichten nach Art. 42 DSA</w:t>
      </w:r>
    </w:p>
    <w:p>
      <w:pPr>
        <w:jc w:val="left"/>
      </w:pPr>
      <w:r>
        <w:rPr>
          <w:b/>
        </w:rPr>
        <w:t>Az. Kanzlei:</w:t>
      </w:r>
      <w:r>
        <w:t xml:space="preserve"> KRS-2026-0318-DSA</w:t>
      </w:r>
    </w:p>
    <w:p>
      <w:pPr>
        <w:jc w:val="left"/>
      </w:pPr>
      <w:r>
        <w:rPr>
          <w:b/>
        </w:rPr>
        <w:t>Bearbeitung:</w:t>
      </w:r>
      <w:r>
        <w:t xml:space="preserve"> RA Felix Wendland</w:t>
      </w:r>
    </w:p>
    <w:p>
      <w:pPr>
        <w:jc w:val="left"/>
      </w:pPr>
      <w:r>
        <w:rPr>
          <w:b/>
        </w:rPr>
        <w:t>Stand:</w:t>
      </w:r>
      <w:r>
        <w:t xml:space="preserve"> 16. April 2026</w:t>
      </w:r>
    </w:p>
    <w:p/>
    <w:p>
      <w:pPr>
        <w:pStyle w:val="Heading2"/>
      </w:pPr>
      <w:r>
        <w:rPr>
          <w:rFonts w:ascii="Times New Roman" w:hAnsi="Times New Roman"/>
        </w:rPr>
        <w:t>1. Normgrundlage</w:t>
      </w:r>
    </w:p>
    <w:p>
      <w:pPr>
        <w:jc w:val="left"/>
      </w:pPr>
      <w:r>
        <w:t>Art. 42 DSA regelt für VLOPs eine erweiterte Transparenzberichtspflicht gegenüber der Europäischen Kommission und der Öffentlichkeit. Diese Berichtspflicht ergänzt und überlagert den allgemeinen Transparenzbericht nach Art. 15 DSA.</w:t>
      </w:r>
    </w:p>
    <w:p/>
    <w:p>
      <w:pPr>
        <w:pStyle w:val="Heading2"/>
      </w:pPr>
      <w:r>
        <w:rPr>
          <w:rFonts w:ascii="Times New Roman" w:hAnsi="Times New Roman"/>
        </w:rPr>
        <w:t>2. Pflichtinhalte des VLOP-Transparenzberichts (Art. 42 Abs. 2 DSA)</w:t>
      </w:r>
    </w:p>
    <w:p>
      <w:pPr>
        <w:jc w:val="left"/>
      </w:pPr>
      <w:r>
        <w:t>Art. 42 Abs. 2 DSA listet folgende Pflichtangaben: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Nr.</w:t>
            </w:r>
          </w:p>
        </w:tc>
        <w:tc>
          <w:tcPr>
            <w:tcW w:type="dxa" w:w="4536"/>
          </w:tcPr>
          <w:p>
            <w:r>
              <w:rPr>
                <w:rFonts w:ascii="Times New Roman" w:hAnsi="Times New Roman"/>
                <w:b/>
                <w:sz w:val="20"/>
              </w:rPr>
              <w:t>Inhalt</w:t>
            </w:r>
          </w:p>
        </w:tc>
      </w:tr>
      <w:tr>
        <w:tc>
          <w:tcPr>
            <w:tcW w:type="dxa" w:w="4536"/>
          </w:tcPr>
          <w:p>
            <w:r>
              <w:rPr>
                <w:rFonts w:ascii="Times New Roman" w:hAnsi="Times New Roman"/>
                <w:sz w:val="20"/>
              </w:rPr>
              <w:t>a</w:t>
            </w:r>
          </w:p>
        </w:tc>
        <w:tc>
          <w:tcPr>
            <w:tcW w:type="dxa" w:w="4536"/>
          </w:tcPr>
          <w:p>
            <w:r>
              <w:rPr>
                <w:rFonts w:ascii="Times New Roman" w:hAnsi="Times New Roman"/>
                <w:sz w:val="20"/>
              </w:rPr>
              <w:t>Anzahl der Meldungen nach Art. 16 DSA nach Inhaltskategorie, Mitgliedstaat, Maßnahme</w:t>
            </w:r>
          </w:p>
        </w:tc>
      </w:tr>
      <w:tr>
        <w:tc>
          <w:tcPr>
            <w:tcW w:type="dxa" w:w="4536"/>
          </w:tcPr>
          <w:p>
            <w:r>
              <w:rPr>
                <w:rFonts w:ascii="Times New Roman" w:hAnsi="Times New Roman"/>
                <w:sz w:val="20"/>
              </w:rPr>
              <w:t>b</w:t>
            </w:r>
          </w:p>
        </w:tc>
        <w:tc>
          <w:tcPr>
            <w:tcW w:type="dxa" w:w="4536"/>
          </w:tcPr>
          <w:p>
            <w:r>
              <w:rPr>
                <w:rFonts w:ascii="Times New Roman" w:hAnsi="Times New Roman"/>
                <w:sz w:val="20"/>
              </w:rPr>
              <w:t>Ergebnisse der Inhaltsmoderationsentscheidungen mit Fehlerquoten-Analyse</w:t>
            </w:r>
          </w:p>
        </w:tc>
      </w:tr>
      <w:tr>
        <w:tc>
          <w:tcPr>
            <w:tcW w:type="dxa" w:w="4536"/>
          </w:tcPr>
          <w:p>
            <w:r>
              <w:rPr>
                <w:rFonts w:ascii="Times New Roman" w:hAnsi="Times New Roman"/>
                <w:sz w:val="20"/>
              </w:rPr>
              <w:t>c</w:t>
            </w:r>
          </w:p>
        </w:tc>
        <w:tc>
          <w:tcPr>
            <w:tcW w:type="dxa" w:w="4536"/>
          </w:tcPr>
          <w:p>
            <w:r>
              <w:rPr>
                <w:rFonts w:ascii="Times New Roman" w:hAnsi="Times New Roman"/>
                <w:sz w:val="20"/>
              </w:rPr>
              <w:t>Angaben zu eingesetzten Empfehlungssystemen (Art. 27 DSA) inkl. Non-Profiling-Nutzungsrate</w:t>
            </w:r>
          </w:p>
        </w:tc>
      </w:tr>
      <w:tr>
        <w:tc>
          <w:tcPr>
            <w:tcW w:type="dxa" w:w="4536"/>
          </w:tcPr>
          <w:p>
            <w:r>
              <w:rPr>
                <w:rFonts w:ascii="Times New Roman" w:hAnsi="Times New Roman"/>
                <w:sz w:val="20"/>
              </w:rPr>
              <w:t>d</w:t>
            </w:r>
          </w:p>
        </w:tc>
        <w:tc>
          <w:tcPr>
            <w:tcW w:type="dxa" w:w="4536"/>
          </w:tcPr>
          <w:p>
            <w:r>
              <w:rPr>
                <w:rFonts w:ascii="Times New Roman" w:hAnsi="Times New Roman"/>
                <w:sz w:val="20"/>
              </w:rPr>
              <w:t>Informationen zum Werbeanzeigen-Repository (Art. 39 DSA)</w:t>
            </w:r>
          </w:p>
        </w:tc>
      </w:tr>
      <w:tr>
        <w:tc>
          <w:tcPr>
            <w:tcW w:type="dxa" w:w="4536"/>
          </w:tcPr>
          <w:p>
            <w:r>
              <w:rPr>
                <w:rFonts w:ascii="Times New Roman" w:hAnsi="Times New Roman"/>
                <w:sz w:val="20"/>
              </w:rPr>
              <w:t>e</w:t>
            </w:r>
          </w:p>
        </w:tc>
        <w:tc>
          <w:tcPr>
            <w:tcW w:type="dxa" w:w="4536"/>
          </w:tcPr>
          <w:p>
            <w:r>
              <w:rPr>
                <w:rFonts w:ascii="Times New Roman" w:hAnsi="Times New Roman"/>
                <w:sz w:val="20"/>
              </w:rPr>
              <w:t>Ergebnis des externen Audits (Art. 37 DSA), nicht vertrauliche Zusammenfassung</w:t>
            </w:r>
          </w:p>
        </w:tc>
      </w:tr>
      <w:tr>
        <w:tc>
          <w:tcPr>
            <w:tcW w:type="dxa" w:w="4536"/>
          </w:tcPr>
          <w:p>
            <w:r>
              <w:rPr>
                <w:rFonts w:ascii="Times New Roman" w:hAnsi="Times New Roman"/>
                <w:sz w:val="20"/>
              </w:rPr>
              <w:t>f</w:t>
            </w:r>
          </w:p>
        </w:tc>
        <w:tc>
          <w:tcPr>
            <w:tcW w:type="dxa" w:w="4536"/>
          </w:tcPr>
          <w:p>
            <w:r>
              <w:rPr>
                <w:rFonts w:ascii="Times New Roman" w:hAnsi="Times New Roman"/>
                <w:sz w:val="20"/>
              </w:rPr>
              <w:t>Daten zur Zusammenarbeit mit Trusted Flaggern (Art. 22 DSA)</w:t>
            </w:r>
          </w:p>
        </w:tc>
      </w:tr>
      <w:tr>
        <w:tc>
          <w:tcPr>
            <w:tcW w:type="dxa" w:w="4536"/>
          </w:tcPr>
          <w:p>
            <w:r>
              <w:rPr>
                <w:rFonts w:ascii="Times New Roman" w:hAnsi="Times New Roman"/>
                <w:sz w:val="20"/>
              </w:rPr>
              <w:t>g</w:t>
            </w:r>
          </w:p>
        </w:tc>
        <w:tc>
          <w:tcPr>
            <w:tcW w:type="dxa" w:w="4536"/>
          </w:tcPr>
          <w:p>
            <w:r>
              <w:rPr>
                <w:rFonts w:ascii="Times New Roman" w:hAnsi="Times New Roman"/>
                <w:sz w:val="20"/>
              </w:rPr>
              <w:t>Systemische Risikobewertung (Art. 34 DSA) in zusammengefasster Form</w:t>
            </w:r>
          </w:p>
        </w:tc>
      </w:tr>
      <w:tr>
        <w:tc>
          <w:tcPr>
            <w:tcW w:type="dxa" w:w="4536"/>
          </w:tcPr>
          <w:p>
            <w:r>
              <w:rPr>
                <w:rFonts w:ascii="Times New Roman" w:hAnsi="Times New Roman"/>
                <w:sz w:val="20"/>
              </w:rPr>
              <w:t>h</w:t>
            </w:r>
          </w:p>
        </w:tc>
        <w:tc>
          <w:tcPr>
            <w:tcW w:type="dxa" w:w="4536"/>
          </w:tcPr>
          <w:p>
            <w:r>
              <w:rPr>
                <w:rFonts w:ascii="Times New Roman" w:hAnsi="Times New Roman"/>
                <w:sz w:val="20"/>
              </w:rPr>
              <w:t>Risikominderungsmaßnahmen (Art. 35 DSA)</w:t>
            </w:r>
          </w:p>
        </w:tc>
      </w:tr>
      <w:tr>
        <w:tc>
          <w:tcPr>
            <w:tcW w:type="dxa" w:w="4536"/>
          </w:tcPr>
          <w:p>
            <w:r>
              <w:rPr>
                <w:rFonts w:ascii="Times New Roman" w:hAnsi="Times New Roman"/>
                <w:sz w:val="20"/>
              </w:rPr>
              <w:t>i</w:t>
            </w:r>
          </w:p>
        </w:tc>
        <w:tc>
          <w:tcPr>
            <w:tcW w:type="dxa" w:w="4536"/>
          </w:tcPr>
          <w:p>
            <w:r>
              <w:rPr>
                <w:rFonts w:ascii="Times New Roman" w:hAnsi="Times New Roman"/>
                <w:sz w:val="20"/>
              </w:rPr>
              <w:t>Aufsichtsabgabe (Art. 43 DSA)</w:t>
            </w:r>
          </w:p>
        </w:tc>
      </w:tr>
    </w:tbl>
    <w:p/>
    <w:p>
      <w:pPr>
        <w:pStyle w:val="Heading2"/>
      </w:pPr>
      <w:r>
        <w:rPr>
          <w:rFonts w:ascii="Times New Roman" w:hAnsi="Times New Roman"/>
        </w:rPr>
        <w:t>3. Fristen und Übermittlung</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Pflicht</w:t>
            </w:r>
          </w:p>
        </w:tc>
        <w:tc>
          <w:tcPr>
            <w:tcW w:type="dxa" w:w="3024"/>
          </w:tcPr>
          <w:p>
            <w:r>
              <w:rPr>
                <w:rFonts w:ascii="Times New Roman" w:hAnsi="Times New Roman"/>
                <w:b/>
                <w:sz w:val="20"/>
              </w:rPr>
              <w:t>Frist</w:t>
            </w:r>
          </w:p>
        </w:tc>
        <w:tc>
          <w:tcPr>
            <w:tcW w:type="dxa" w:w="3024"/>
          </w:tcPr>
          <w:p>
            <w:r>
              <w:rPr>
                <w:rFonts w:ascii="Times New Roman" w:hAnsi="Times New Roman"/>
                <w:b/>
                <w:sz w:val="20"/>
              </w:rPr>
              <w:t>Empfänger</w:t>
            </w:r>
          </w:p>
        </w:tc>
      </w:tr>
      <w:tr>
        <w:tc>
          <w:tcPr>
            <w:tcW w:type="dxa" w:w="3024"/>
          </w:tcPr>
          <w:p>
            <w:r>
              <w:rPr>
                <w:rFonts w:ascii="Times New Roman" w:hAnsi="Times New Roman"/>
                <w:sz w:val="20"/>
              </w:rPr>
              <w:t>Jährlicher Transparenzbericht (Art. 42 Abs. 1 DSA)</w:t>
            </w:r>
          </w:p>
        </w:tc>
        <w:tc>
          <w:tcPr>
            <w:tcW w:type="dxa" w:w="3024"/>
          </w:tcPr>
          <w:p>
            <w:r>
              <w:rPr>
                <w:rFonts w:ascii="Times New Roman" w:hAnsi="Times New Roman"/>
                <w:sz w:val="20"/>
              </w:rPr>
              <w:t>31. März jedes Jahres (für das Vorjahr)</w:t>
            </w:r>
          </w:p>
        </w:tc>
        <w:tc>
          <w:tcPr>
            <w:tcW w:type="dxa" w:w="3024"/>
          </w:tcPr>
          <w:p>
            <w:r>
              <w:rPr>
                <w:rFonts w:ascii="Times New Roman" w:hAnsi="Times New Roman"/>
                <w:sz w:val="20"/>
              </w:rPr>
              <w:t>Kommission, öffentlich</w:t>
            </w:r>
          </w:p>
        </w:tc>
      </w:tr>
      <w:tr>
        <w:tc>
          <w:tcPr>
            <w:tcW w:type="dxa" w:w="3024"/>
          </w:tcPr>
          <w:p>
            <w:r>
              <w:rPr>
                <w:rFonts w:ascii="Times New Roman" w:hAnsi="Times New Roman"/>
                <w:sz w:val="20"/>
              </w:rPr>
              <w:t>VLOP-Halbjahres-Nutzerzahlen (Art. 24 Abs. 2 DSA)</w:t>
            </w:r>
          </w:p>
        </w:tc>
        <w:tc>
          <w:tcPr>
            <w:tcW w:type="dxa" w:w="3024"/>
          </w:tcPr>
          <w:p>
            <w:r>
              <w:rPr>
                <w:rFonts w:ascii="Times New Roman" w:hAnsi="Times New Roman"/>
                <w:sz w:val="20"/>
              </w:rPr>
              <w:t>17. März und 17. September</w:t>
            </w:r>
          </w:p>
        </w:tc>
        <w:tc>
          <w:tcPr>
            <w:tcW w:type="dxa" w:w="3024"/>
          </w:tcPr>
          <w:p>
            <w:r>
              <w:rPr>
                <w:rFonts w:ascii="Times New Roman" w:hAnsi="Times New Roman"/>
                <w:sz w:val="20"/>
              </w:rPr>
              <w:t>Kommission, DSC</w:t>
            </w:r>
          </w:p>
        </w:tc>
      </w:tr>
      <w:tr>
        <w:tc>
          <w:tcPr>
            <w:tcW w:type="dxa" w:w="3024"/>
          </w:tcPr>
          <w:p>
            <w:r>
              <w:rPr>
                <w:rFonts w:ascii="Times New Roman" w:hAnsi="Times New Roman"/>
                <w:sz w:val="20"/>
              </w:rPr>
              <w:t>Erstbericht nach Designation</w:t>
            </w:r>
          </w:p>
        </w:tc>
        <w:tc>
          <w:tcPr>
            <w:tcW w:type="dxa" w:w="3024"/>
          </w:tcPr>
          <w:p>
            <w:r>
              <w:rPr>
                <w:rFonts w:ascii="Times New Roman" w:hAnsi="Times New Roman"/>
                <w:sz w:val="20"/>
              </w:rPr>
              <w:t>14. August 2026 (vier + vier Monate)</w:t>
            </w:r>
          </w:p>
        </w:tc>
        <w:tc>
          <w:tcPr>
            <w:tcW w:type="dxa" w:w="3024"/>
          </w:tcPr>
          <w:p>
            <w:r>
              <w:rPr>
                <w:rFonts w:ascii="Times New Roman" w:hAnsi="Times New Roman"/>
                <w:sz w:val="20"/>
              </w:rPr>
              <w:t>Kommission</w:t>
            </w:r>
          </w:p>
        </w:tc>
      </w:tr>
      <w:tr>
        <w:tc>
          <w:tcPr>
            <w:tcW w:type="dxa" w:w="3024"/>
          </w:tcPr>
          <w:p>
            <w:r>
              <w:rPr>
                <w:rFonts w:ascii="Times New Roman" w:hAnsi="Times New Roman"/>
                <w:sz w:val="20"/>
              </w:rPr>
              <w:t>Auditbericht (Art. 37 Abs. 4 DSA)</w:t>
            </w:r>
          </w:p>
        </w:tc>
        <w:tc>
          <w:tcPr>
            <w:tcW w:type="dxa" w:w="3024"/>
          </w:tcPr>
          <w:p>
            <w:r>
              <w:rPr>
                <w:rFonts w:ascii="Times New Roman" w:hAnsi="Times New Roman"/>
                <w:sz w:val="20"/>
              </w:rPr>
              <w:t>Nach Abschluss Audit (geplant: August 2026)</w:t>
            </w:r>
          </w:p>
        </w:tc>
        <w:tc>
          <w:tcPr>
            <w:tcW w:type="dxa" w:w="3024"/>
          </w:tcPr>
          <w:p>
            <w:r>
              <w:rPr>
                <w:rFonts w:ascii="Times New Roman" w:hAnsi="Times New Roman"/>
                <w:sz w:val="20"/>
              </w:rPr>
              <w:t>Kommission, öffentliche Zusammenfassung</w:t>
            </w:r>
          </w:p>
        </w:tc>
      </w:tr>
    </w:tbl>
    <w:p>
      <w:pPr>
        <w:jc w:val="left"/>
      </w:pPr>
      <w:r>
        <w:rPr>
          <w:b/>
        </w:rPr>
        <w:t>Hinweis:</w:t>
      </w:r>
      <w:r>
        <w:t xml:space="preserve"> Der Erstbericht nach VLOP-Designation ist zum 14. August 2026 fällig. Die Kanzlei empfiehlt, die Erstellung des H1/2026-Transparenzberichts bereits parallel zur laufenden Compliance-Umsetzung zu beginnen.</w:t>
      </w:r>
    </w:p>
    <w:p/>
    <w:p>
      <w:pPr>
        <w:pStyle w:val="Heading2"/>
      </w:pPr>
      <w:r>
        <w:rPr>
          <w:rFonts w:ascii="Times New Roman" w:hAnsi="Times New Roman"/>
        </w:rPr>
        <w:t>4. Datenlieferpflichten an die Kommission (Art. 40 DSA)</w:t>
      </w:r>
    </w:p>
    <w:p>
      <w:pPr>
        <w:jc w:val="left"/>
      </w:pPr>
      <w:r>
        <w:t>Über den Transparenzbericht hinaus hat die Kommission nach Art. 40 Abs. 9 DSA das Recht, VLOPs zur direkten Datenübermittlung zu verpflichten, wenn dies für die Überwachung der systemischen Risiken erforderlich ist. Dies erfolgt per gesondertem Durchführungsbeschluss.</w:t>
      </w:r>
    </w:p>
    <w:p>
      <w:pPr>
        <w:jc w:val="left"/>
      </w:pPr>
      <w:r>
        <w:t>Derzeit liegt kein solcher Beschluss für Halmweise.de vor. Die Kanzlei empfiehlt Monitoring der Kommissionsbeschlüsse in diesem Bereich.</w:t>
      </w:r>
    </w:p>
    <w:p/>
    <w:p>
      <w:pPr>
        <w:pStyle w:val="Heading2"/>
      </w:pPr>
      <w:r>
        <w:rPr>
          <w:rFonts w:ascii="Times New Roman" w:hAnsi="Times New Roman"/>
        </w:rPr>
        <w:t>5. Format und Sprachen</w:t>
      </w:r>
    </w:p>
    <w:p>
      <w:pPr>
        <w:jc w:val="left"/>
      </w:pPr>
      <w:r>
        <w:t>Die Kommission akzeptiert den Transparenzbericht in den Amtssprachen der EU oder auf Englisch. Körnerstrom Social GmbH sollte den Bericht in Deutsch und Englisch veröffentlichen.</w:t>
      </w:r>
    </w:p>
    <w:p>
      <w:pPr>
        <w:jc w:val="left"/>
      </w:pPr>
      <w:r>
        <w:t>Das Kommissions-Portal für die Einreichung von Transparenzberichten ist unter https://digital-markets-act-cases.ec.europa.eu/erreichbar (Stand April 2026).</w:t>
      </w:r>
    </w:p>
    <w:p/>
    <w:p>
      <w:pPr>
        <w:pStyle w:val="Heading2"/>
      </w:pPr>
      <w:r>
        <w:rPr>
          <w:rFonts w:ascii="Times New Roman" w:hAnsi="Times New Roman"/>
        </w:rPr>
        <w:t>6. Öffentliches VLOP-Register</w:t>
      </w:r>
    </w:p>
    <w:p>
      <w:pPr>
        <w:jc w:val="left"/>
      </w:pPr>
      <w:r>
        <w:t>Art. 42 Abs. 6 DSA sieht vor, dass die Kommission ein öffentliches Register der Transparenzberichte aller VLOPs führt. Mit der Veröffentlichung des Berichts muss gleichzeitig eine Einreichung beim Register erfolgen. Das Register ist unter https://digital-strategy.ec.europa.eu/en/policies/dsa-designated-vlops abrufbar.</w:t>
      </w:r>
    </w:p>
    <w:p/>
    <w:p>
      <w:pPr>
        <w:pStyle w:val="Heading2"/>
      </w:pPr>
      <w:r>
        <w:rPr>
          <w:rFonts w:ascii="Times New Roman" w:hAnsi="Times New Roman"/>
        </w:rPr>
        <w:t>7. Koordination mit internen Stellen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Kapitel</w:t>
            </w:r>
          </w:p>
        </w:tc>
        <w:tc>
          <w:tcPr>
            <w:tcW w:type="dxa" w:w="3024"/>
          </w:tcPr>
          <w:p>
            <w:r>
              <w:rPr>
                <w:rFonts w:ascii="Times New Roman" w:hAnsi="Times New Roman"/>
                <w:b/>
                <w:sz w:val="20"/>
              </w:rPr>
              <w:t>Interne Zuständigkeit</w:t>
            </w:r>
          </w:p>
        </w:tc>
        <w:tc>
          <w:tcPr>
            <w:tcW w:type="dxa" w:w="3024"/>
          </w:tcPr>
          <w:p>
            <w:r>
              <w:rPr>
                <w:rFonts w:ascii="Times New Roman" w:hAnsi="Times New Roman"/>
                <w:b/>
                <w:sz w:val="20"/>
              </w:rPr>
              <w:t>Deadline Vorlage</w:t>
            </w:r>
          </w:p>
        </w:tc>
      </w:tr>
      <w:tr>
        <w:tc>
          <w:tcPr>
            <w:tcW w:type="dxa" w:w="3024"/>
          </w:tcPr>
          <w:p>
            <w:r>
              <w:rPr>
                <w:rFonts w:ascii="Times New Roman" w:hAnsi="Times New Roman"/>
                <w:sz w:val="20"/>
              </w:rPr>
              <w:t>Nutzerstatistiken (Art. 24)</w:t>
            </w:r>
          </w:p>
        </w:tc>
        <w:tc>
          <w:tcPr>
            <w:tcW w:type="dxa" w:w="3024"/>
          </w:tcPr>
          <w:p>
            <w:r>
              <w:rPr>
                <w:rFonts w:ascii="Times New Roman" w:hAnsi="Times New Roman"/>
                <w:sz w:val="20"/>
              </w:rPr>
              <w:t>Analytics</w:t>
            </w:r>
          </w:p>
        </w:tc>
        <w:tc>
          <w:tcPr>
            <w:tcW w:type="dxa" w:w="3024"/>
          </w:tcPr>
          <w:p>
            <w:r>
              <w:rPr>
                <w:rFonts w:ascii="Times New Roman" w:hAnsi="Times New Roman"/>
                <w:sz w:val="20"/>
              </w:rPr>
              <w:t>01.07.2026</w:t>
            </w:r>
          </w:p>
        </w:tc>
      </w:tr>
      <w:tr>
        <w:tc>
          <w:tcPr>
            <w:tcW w:type="dxa" w:w="3024"/>
          </w:tcPr>
          <w:p>
            <w:r>
              <w:rPr>
                <w:rFonts w:ascii="Times New Roman" w:hAnsi="Times New Roman"/>
                <w:sz w:val="20"/>
              </w:rPr>
              <w:t>Moderationsstatistiken (Art. 42 Abs. 2 lit. a, b)</w:t>
            </w:r>
          </w:p>
        </w:tc>
        <w:tc>
          <w:tcPr>
            <w:tcW w:type="dxa" w:w="3024"/>
          </w:tcPr>
          <w:p>
            <w:r>
              <w:rPr>
                <w:rFonts w:ascii="Times New Roman" w:hAnsi="Times New Roman"/>
                <w:sz w:val="20"/>
              </w:rPr>
              <w:t>Trust &amp; Safety (Björn Fiedler-Möller)</w:t>
            </w:r>
          </w:p>
        </w:tc>
        <w:tc>
          <w:tcPr>
            <w:tcW w:type="dxa" w:w="3024"/>
          </w:tcPr>
          <w:p>
            <w:r>
              <w:rPr>
                <w:rFonts w:ascii="Times New Roman" w:hAnsi="Times New Roman"/>
                <w:sz w:val="20"/>
              </w:rPr>
              <w:t>01.07.2026</w:t>
            </w:r>
          </w:p>
        </w:tc>
      </w:tr>
      <w:tr>
        <w:tc>
          <w:tcPr>
            <w:tcW w:type="dxa" w:w="3024"/>
          </w:tcPr>
          <w:p>
            <w:r>
              <w:rPr>
                <w:rFonts w:ascii="Times New Roman" w:hAnsi="Times New Roman"/>
                <w:sz w:val="20"/>
              </w:rPr>
              <w:t>Empfehlungssysteme (Art. 42 Abs. 2 lit. c)</w:t>
            </w:r>
          </w:p>
        </w:tc>
        <w:tc>
          <w:tcPr>
            <w:tcW w:type="dxa" w:w="3024"/>
          </w:tcPr>
          <w:p>
            <w:r>
              <w:rPr>
                <w:rFonts w:ascii="Times New Roman" w:hAnsi="Times New Roman"/>
                <w:sz w:val="20"/>
              </w:rPr>
              <w:t>CTO Fatima Schröder</w:t>
            </w:r>
          </w:p>
        </w:tc>
        <w:tc>
          <w:tcPr>
            <w:tcW w:type="dxa" w:w="3024"/>
          </w:tcPr>
          <w:p>
            <w:r>
              <w:rPr>
                <w:rFonts w:ascii="Times New Roman" w:hAnsi="Times New Roman"/>
                <w:sz w:val="20"/>
              </w:rPr>
              <w:t>15.06.2026</w:t>
            </w:r>
          </w:p>
        </w:tc>
      </w:tr>
      <w:tr>
        <w:tc>
          <w:tcPr>
            <w:tcW w:type="dxa" w:w="3024"/>
          </w:tcPr>
          <w:p>
            <w:r>
              <w:rPr>
                <w:rFonts w:ascii="Times New Roman" w:hAnsi="Times New Roman"/>
                <w:sz w:val="20"/>
              </w:rPr>
              <w:t>Werbedaten (Art. 42 Abs. 2 lit. d)</w:t>
            </w:r>
          </w:p>
        </w:tc>
        <w:tc>
          <w:tcPr>
            <w:tcW w:type="dxa" w:w="3024"/>
          </w:tcPr>
          <w:p>
            <w:r>
              <w:rPr>
                <w:rFonts w:ascii="Times New Roman" w:hAnsi="Times New Roman"/>
                <w:sz w:val="20"/>
              </w:rPr>
              <w:t>Adtech</w:t>
            </w:r>
          </w:p>
        </w:tc>
        <w:tc>
          <w:tcPr>
            <w:tcW w:type="dxa" w:w="3024"/>
          </w:tcPr>
          <w:p>
            <w:r>
              <w:rPr>
                <w:rFonts w:ascii="Times New Roman" w:hAnsi="Times New Roman"/>
                <w:sz w:val="20"/>
              </w:rPr>
              <w:t>01.07.2026</w:t>
            </w:r>
          </w:p>
        </w:tc>
      </w:tr>
      <w:tr>
        <w:tc>
          <w:tcPr>
            <w:tcW w:type="dxa" w:w="3024"/>
          </w:tcPr>
          <w:p>
            <w:r>
              <w:rPr>
                <w:rFonts w:ascii="Times New Roman" w:hAnsi="Times New Roman"/>
                <w:sz w:val="20"/>
              </w:rPr>
              <w:t>Audit-Zusammenfassung (Art. 42 Abs. 2 lit. e)</w:t>
            </w:r>
          </w:p>
        </w:tc>
        <w:tc>
          <w:tcPr>
            <w:tcW w:type="dxa" w:w="3024"/>
          </w:tcPr>
          <w:p>
            <w:r>
              <w:rPr>
                <w:rFonts w:ascii="Times New Roman" w:hAnsi="Times New Roman"/>
                <w:sz w:val="20"/>
              </w:rPr>
              <w:t>PwC / Legal</w:t>
            </w:r>
          </w:p>
        </w:tc>
        <w:tc>
          <w:tcPr>
            <w:tcW w:type="dxa" w:w="3024"/>
          </w:tcPr>
          <w:p>
            <w:r>
              <w:rPr>
                <w:rFonts w:ascii="Times New Roman" w:hAnsi="Times New Roman"/>
                <w:sz w:val="20"/>
              </w:rPr>
              <w:t>31.07.2026</w:t>
            </w:r>
          </w:p>
        </w:tc>
      </w:tr>
      <w:tr>
        <w:tc>
          <w:tcPr>
            <w:tcW w:type="dxa" w:w="3024"/>
          </w:tcPr>
          <w:p>
            <w:r>
              <w:rPr>
                <w:rFonts w:ascii="Times New Roman" w:hAnsi="Times New Roman"/>
                <w:sz w:val="20"/>
              </w:rPr>
              <w:t>Risikobewertung (Art. 42 Abs. 2 lit. g)</w:t>
            </w:r>
          </w:p>
        </w:tc>
        <w:tc>
          <w:tcPr>
            <w:tcW w:type="dxa" w:w="3024"/>
          </w:tcPr>
          <w:p>
            <w:r>
              <w:rPr>
                <w:rFonts w:ascii="Times New Roman" w:hAnsi="Times New Roman"/>
                <w:sz w:val="20"/>
              </w:rPr>
              <w:t>Legal</w:t>
            </w:r>
          </w:p>
        </w:tc>
        <w:tc>
          <w:tcPr>
            <w:tcW w:type="dxa" w:w="3024"/>
          </w:tcPr>
          <w:p>
            <w:r>
              <w:rPr>
                <w:rFonts w:ascii="Times New Roman" w:hAnsi="Times New Roman"/>
                <w:sz w:val="20"/>
              </w:rPr>
              <w:t>01.07.2026</w:t>
            </w:r>
          </w:p>
        </w:tc>
      </w:tr>
      <w:tr>
        <w:tc>
          <w:tcPr>
            <w:tcW w:type="dxa" w:w="3024"/>
          </w:tcPr>
          <w:p>
            <w:r>
              <w:rPr>
                <w:rFonts w:ascii="Times New Roman" w:hAnsi="Times New Roman"/>
                <w:sz w:val="20"/>
              </w:rPr>
              <w:t>Aufsichtsabgabe (Art. 42 Abs. 2 lit. i)</w:t>
            </w:r>
          </w:p>
        </w:tc>
        <w:tc>
          <w:tcPr>
            <w:tcW w:type="dxa" w:w="3024"/>
          </w:tcPr>
          <w:p>
            <w:r>
              <w:rPr>
                <w:rFonts w:ascii="Times New Roman" w:hAnsi="Times New Roman"/>
                <w:sz w:val="20"/>
              </w:rPr>
              <w:t>Finanzabteilung</w:t>
            </w:r>
          </w:p>
        </w:tc>
        <w:tc>
          <w:tcPr>
            <w:tcW w:type="dxa" w:w="3024"/>
          </w:tcPr>
          <w:p>
            <w:r>
              <w:rPr>
                <w:rFonts w:ascii="Times New Roman" w:hAnsi="Times New Roman"/>
                <w:sz w:val="20"/>
              </w:rPr>
              <w:t>01.07.2026</w:t>
            </w:r>
          </w:p>
        </w:tc>
      </w:tr>
    </w:tbl>
    <w:p>
      <w:pPr>
        <w:jc w:val="left"/>
      </w:pPr>
      <w:r>
        <w:rPr>
          <w:b/>
        </w:rPr>
        <w:t>Gesamtkoordination:</w:t>
      </w:r>
      <w:r>
        <w:t xml:space="preserve"> Lena Maaßen (Legal Counsel) und RAin Dr. Groth-Steinberg.</w:t>
      </w:r>
    </w:p>
    <w:p/>
    <w:p>
      <w:pPr>
        <w:pStyle w:val="Heading2"/>
      </w:pPr>
      <w:r>
        <w:rPr>
          <w:rFonts w:ascii="Times New Roman" w:hAnsi="Times New Roman"/>
        </w:rPr>
        <w:t>8. Rechtsgrundlagen</w:t>
      </w:r>
    </w:p>
    <w:p>
      <w:pPr>
        <w:pStyle w:val="ListBullet"/>
      </w:pPr>
      <w:r>
        <w:t>Art. 42 DSA (EU) 2022/2065 — Erweiterter Transparenzbericht</w:t>
      </w:r>
    </w:p>
    <w:p>
      <w:pPr>
        <w:pStyle w:val="ListBullet"/>
      </w:pPr>
      <w:r>
        <w:t>Art. 24 DSA — Nutzerzahlenmeldung</w:t>
      </w:r>
    </w:p>
    <w:p>
      <w:pPr>
        <w:pStyle w:val="ListBullet"/>
      </w:pPr>
      <w:r>
        <w:t>Art. 40 Abs. 9 DSA — Direktübermittlungspflicht</w:t>
      </w:r>
    </w:p>
    <w:p>
      <w:pPr>
        <w:jc w:val="left"/>
      </w:pPr>
      <w:r>
        <w:rPr>
          <w:b/>
        </w:rPr>
        <w:t>Quellen:</w:t>
      </w:r>
    </w:p>
    <w:p>
      <w:pPr>
        <w:pStyle w:val="ListBullet"/>
      </w:pPr>
      <w:r>
        <w:t>Verordnung (EU) 2022/2065 (DSA), EUR-Lex: https://eur-lex.europa.eu/legal-content/DE/TXT/?uri=CELEX%3A32022R2065</w:t>
      </w:r>
    </w:p>
    <w:p/>
    <w:p>
      <w:pPr>
        <w:jc w:val="left"/>
      </w:pPr>
      <w:r>
        <w:rPr>
          <w:i/>
        </w:rPr>
        <w:t>Bearbeitung: RA Felix Wendland</w:t>
      </w:r>
    </w:p>
    <w:p>
      <w:pPr>
        <w:jc w:val="left"/>
      </w:pPr>
      <w:r>
        <w:rPr>
          <w:i/>
        </w:rPr>
        <w:t>Stand: 16. April 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