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Times New Roman" w:hAnsi="Times New Roman"/>
        </w:rPr>
        <w:t>Aktenstück 18 — Aufsichtsabgabe nach Art. 43 DSA: Haushaltsplanung</w:t>
      </w:r>
    </w:p>
    <w:p>
      <w:pPr>
        <w:jc w:val="left"/>
      </w:pPr>
      <w:r>
        <w:rPr>
          <w:b/>
        </w:rPr>
        <w:t>Az. Kanzlei:</w:t>
      </w:r>
      <w:r>
        <w:t xml:space="preserve"> KRS-2026-0318-DSA</w:t>
      </w:r>
    </w:p>
    <w:p>
      <w:pPr>
        <w:jc w:val="left"/>
      </w:pPr>
      <w:r>
        <w:rPr>
          <w:b/>
        </w:rPr>
        <w:t>Bearbeitung:</w:t>
      </w:r>
      <w:r>
        <w:t xml:space="preserve"> RA Felix Wendland</w:t>
      </w:r>
    </w:p>
    <w:p>
      <w:pPr>
        <w:jc w:val="left"/>
      </w:pPr>
      <w:r>
        <w:rPr>
          <w:b/>
        </w:rPr>
        <w:t>Stand:</w:t>
      </w:r>
      <w:r>
        <w:t xml:space="preserve"> 17. April 2026</w:t>
      </w:r>
    </w:p>
    <w:p/>
    <w:p>
      <w:pPr>
        <w:pStyle w:val="Heading2"/>
      </w:pPr>
      <w:r>
        <w:rPr>
          <w:rFonts w:ascii="Times New Roman" w:hAnsi="Times New Roman"/>
        </w:rPr>
        <w:t>1. Normgrundlage</w:t>
      </w:r>
    </w:p>
    <w:p>
      <w:pPr>
        <w:jc w:val="left"/>
      </w:pPr>
      <w:r>
        <w:t>Art. 43 DSA verpflichtet VLOPs und VLOSE, eine jährliche Aufsichtsabgabe (supervisory fee) an die Europäische Kommission zu entrichten. Die Abgabe dient der Finanzierung der Aufsichtstätigkeit der Kommission gegenüber VLOPs.</w:t>
      </w:r>
    </w:p>
    <w:p/>
    <w:p>
      <w:pPr>
        <w:pStyle w:val="Heading2"/>
      </w:pPr>
      <w:r>
        <w:rPr>
          <w:rFonts w:ascii="Times New Roman" w:hAnsi="Times New Roman"/>
        </w:rPr>
        <w:t>2. Berechnungsgrundlage</w:t>
      </w:r>
    </w:p>
    <w:p>
      <w:pPr>
        <w:pStyle w:val="Heading3"/>
      </w:pPr>
      <w:r>
        <w:rPr>
          <w:rFonts w:ascii="Times New Roman" w:hAnsi="Times New Roman"/>
        </w:rPr>
        <w:t>2.1 Delegierte Verordnung zur Aufsichtsabgabe</w:t>
      </w:r>
    </w:p>
    <w:p>
      <w:pPr>
        <w:jc w:val="left"/>
      </w:pPr>
      <w:r>
        <w:t>Die Kommission hat am 30. Oktober 2023 die Delegierte Verordnung (EU) 2023/2411 zur Festsetzung der Aufsichtsabgabe erlassen. Darin ist die Berechnungsmethodik geregelt:</w:t>
      </w:r>
    </w:p>
    <w:p>
      <w:pPr>
        <w:jc w:val="left"/>
      </w:pPr>
      <w:r>
        <w:rPr>
          <w:b/>
        </w:rPr>
        <w:t>Formel:</w:t>
      </w:r>
      <w:r>
        <w:t xml:space="preserve"> Aufsichtsabgabe = (Aufsichtskosten Gesamt × Nutzerzahlanteil VLOP) / Gesamtnutzerzahl aller VLOPs</w:t>
      </w:r>
    </w:p>
    <w:p>
      <w:pPr>
        <w:jc w:val="left"/>
      </w:pPr>
      <w:r>
        <w:t>Vereinfacht: Jede VLOP zahlt einen prozentualen Anteil der Gesamtaufsichtskosten der Kommission, der ihrem Anteil an der Gesamtzahl der aktiven Nutzer aller VLOPs entspricht.</w:t>
      </w:r>
    </w:p>
    <w:p>
      <w:pPr>
        <w:pStyle w:val="Heading3"/>
      </w:pPr>
      <w:r>
        <w:rPr>
          <w:rFonts w:ascii="Times New Roman" w:hAnsi="Times New Roman"/>
        </w:rPr>
        <w:t>2.2 Deckelung</w:t>
      </w:r>
    </w:p>
    <w:p>
      <w:pPr>
        <w:jc w:val="left"/>
      </w:pPr>
      <w:r>
        <w:t>Art. 43 Abs. 2 DSA sieht eine Deckelung der Aufsichtsabgabe auf 0,05% des weltweiten Jahresumsatzes vor.</w:t>
      </w:r>
    </w:p>
    <w:p/>
    <w:p>
      <w:pPr>
        <w:pStyle w:val="Heading2"/>
      </w:pPr>
      <w:r>
        <w:rPr>
          <w:rFonts w:ascii="Times New Roman" w:hAnsi="Times New Roman"/>
        </w:rPr>
        <w:t>3. Abgabenschätzung für Körnerstrom Social GmbH</w:t>
      </w:r>
    </w:p>
    <w:p>
      <w:pPr>
        <w:jc w:val="left"/>
      </w:pPr>
      <w:r>
        <w:rPr>
          <w:b/>
        </w:rPr>
        <w:t>Annahmen:</w:t>
      </w:r>
    </w:p>
    <w:p>
      <w:pPr>
        <w:pStyle w:val="ListBullet"/>
      </w:pPr>
      <w:r>
        <w:t>Weltweitumsatz 2025: ca. 570 Mio. EUR</w:t>
      </w:r>
    </w:p>
    <w:p>
      <w:pPr>
        <w:pStyle w:val="ListBullet"/>
      </w:pPr>
      <w:r>
        <w:t>Maximalbetrag (0,05%): 285.000 EUR</w:t>
      </w:r>
    </w:p>
    <w:p>
      <w:pPr>
        <w:pStyle w:val="ListBullet"/>
      </w:pPr>
      <w:r>
        <w:t>Aktive EU-Nutzer Halmweise.de: 51 Mio.</w:t>
      </w:r>
    </w:p>
    <w:p>
      <w:pPr>
        <w:pStyle w:val="ListBullet"/>
      </w:pPr>
      <w:r>
        <w:t>Geschätzte Gesamtnutzerzahl aller designierten VLOPs: ca. 2.050 Mio. (Kommissionsschätzung)</w:t>
      </w:r>
    </w:p>
    <w:p>
      <w:pPr>
        <w:pStyle w:val="ListBullet"/>
      </w:pPr>
      <w:r>
        <w:t>Geschätzte Gesamtaufsichtskosten Kommission 2026: 88 Mio. EUR (Haushaltsentwurf)</w:t>
      </w:r>
    </w:p>
    <w:p>
      <w:pPr>
        <w:jc w:val="left"/>
      </w:pPr>
      <w:r>
        <w:rPr>
          <w:b/>
        </w:rPr>
        <w:t>Berechnungsbeispiel:</w:t>
      </w:r>
    </w:p>
    <w:p>
      <w:pPr>
        <w:pStyle w:val="ListBullet"/>
      </w:pPr>
      <w:r>
        <w:t>Anteil Halmweise.de: 51/2050 = 2,49%</w:t>
      </w:r>
    </w:p>
    <w:p>
      <w:pPr>
        <w:pStyle w:val="ListBullet"/>
      </w:pPr>
      <w:r>
        <w:t>Anteil an 88 Mio. EUR = 2,19 Mio. EUR</w:t>
      </w:r>
    </w:p>
    <w:p>
      <w:pPr>
        <w:pStyle w:val="ListBullet"/>
      </w:pPr>
      <w:r>
        <w:t xml:space="preserve">Deckelung auf 0,05% × 570 Mio. EUR = </w:t>
      </w:r>
      <w:r>
        <w:rPr>
          <w:b/>
        </w:rPr>
        <w:t>285.000 EUR</w:t>
      </w:r>
      <w:r>
        <w:t xml:space="preserve"> (Deckelungswert greift)</w:t>
      </w:r>
    </w:p>
    <w:p>
      <w:pPr>
        <w:jc w:val="left"/>
      </w:pPr>
      <w:r>
        <w:rPr>
          <w:b/>
        </w:rPr>
        <w:t>Ergebnis:</w:t>
      </w:r>
      <w:r>
        <w:t xml:space="preserve"> Die Aufsichtsabgabe für Körnerstrom Social GmbH wird voraussichtlich auf </w:t>
      </w:r>
      <w:r>
        <w:rPr>
          <w:b/>
        </w:rPr>
        <w:t>285.000 EUR p.a.</w:t>
      </w:r>
      <w:r>
        <w:t xml:space="preserve"> gedeckelt sein, da der anteilige Sockelbetrag die Deckelung überschreitet. Dies ist im Vergleich zu größeren VLOPs eine günstige Situation.</w:t>
      </w:r>
    </w:p>
    <w:p/>
    <w:p>
      <w:pPr>
        <w:pStyle w:val="Heading2"/>
      </w:pPr>
      <w:r>
        <w:rPr>
          <w:rFonts w:ascii="Times New Roman" w:hAnsi="Times New Roman"/>
        </w:rPr>
        <w:t>4. Fälligkeit und Zahlungsmodalitäten</w:t>
      </w:r>
    </w:p>
    <w:p>
      <w:pPr>
        <w:jc w:val="left"/>
      </w:pPr>
      <w:r>
        <w:t>Art. 43 Abs. 3 DSA: Die Abgabe wird jährlich von der Kommission festgesetzt und ist auf Basis der Nutzerzahlen des Vorjahres zu berechnen. Erste Festsetzung für Körnerstrom Social GmbH: voraussichtlich Herbst 2026 (rückwirkend ab Designation).</w:t>
      </w:r>
    </w:p>
    <w:p>
      <w:pPr>
        <w:jc w:val="left"/>
      </w:pPr>
      <w:r>
        <w:t>Die Kommission übermittelt einen Zahlungsbescheid; Zahlungsfrist ist üblicherweise 60 Tage nach Bescheidzustellung.</w:t>
      </w:r>
    </w:p>
    <w:p/>
    <w:p>
      <w:pPr>
        <w:pStyle w:val="Heading2"/>
      </w:pPr>
      <w:r>
        <w:rPr>
          <w:rFonts w:ascii="Times New Roman" w:hAnsi="Times New Roman"/>
        </w:rPr>
        <w:t>5. Buchhalterische und steuerliche Behandlung</w:t>
      </w:r>
    </w:p>
    <w:p>
      <w:pPr>
        <w:pStyle w:val="ListBullet"/>
      </w:pPr>
      <w:r>
        <w:t>Die Aufsichtsabgabe ist als öffentlich-rechtliche Abgabe steuerlich als Betriebsausgabe abzugsfähig.</w:t>
      </w:r>
    </w:p>
    <w:p>
      <w:pPr>
        <w:pStyle w:val="ListBullet"/>
      </w:pPr>
      <w:r>
        <w:t>Sie ist als sonstiger Aufwand in der GuV zu erfassen.</w:t>
      </w:r>
    </w:p>
    <w:p>
      <w:pPr>
        <w:pStyle w:val="ListBullet"/>
      </w:pPr>
      <w:r>
        <w:t>Im Haushaltsentwurf 2026/2027 sollte ein Posten von 300.000 EUR für die Aufsichtsabgabe eingeplant werden (mit Puffer für Erstjahrsunklarheiten).</w:t>
      </w:r>
    </w:p>
    <w:p/>
    <w:p>
      <w:pPr>
        <w:pStyle w:val="Heading2"/>
      </w:pPr>
      <w:r>
        <w:rPr>
          <w:rFonts w:ascii="Times New Roman" w:hAnsi="Times New Roman"/>
        </w:rPr>
        <w:t>6. Verhältnis zur Compliance-Investition</w:t>
      </w:r>
    </w:p>
    <w:p>
      <w:pPr>
        <w:jc w:val="left"/>
      </w:pPr>
      <w:r>
        <w:t>Die Aufsichtsabgabe (ca. 285.000 EUR) ist im Vergleich zu den Compliance-Investitionen (geschätzte 8-12 Mio. EUR) und den möglichen Bußgeldern (10-30 Mio. EUR) wirtschaftlich nachrangig. Sie ist korrekt als laufende Betriebskosten einzuplanen.</w:t>
      </w:r>
    </w:p>
    <w:p/>
    <w:p>
      <w:pPr>
        <w:pStyle w:val="Heading2"/>
      </w:pPr>
      <w:r>
        <w:rPr>
          <w:rFonts w:ascii="Times New Roman" w:hAnsi="Times New Roman"/>
        </w:rPr>
        <w:t>7. Haushaltsplanung VLOP-Compliance 2026 (Überblick)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</w:tcPr>
          <w:p>
            <w:r>
              <w:rPr>
                <w:rFonts w:ascii="Times New Roman" w:hAnsi="Times New Roman"/>
                <w:b/>
                <w:sz w:val="20"/>
              </w:rPr>
              <w:t>Posten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b/>
                <w:sz w:val="20"/>
              </w:rPr>
              <w:t>Schätzung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Personalaufbau Trust &amp; Safety (30 Stellen)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2,4 Mio. EUR p.a.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KI-Moderationssystem (Investition)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1,5 Mio. EUR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Externer Audit (PwC)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380.000 EUR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Non-Profiling-Implementierung (Tech)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300.000 EUR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Repository-Rückfüllung und -Automatisierung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150.000 EUR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Aufsichtsabgabe (Art. 43 DSA)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285.000 EUR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Kanzleihonorar DSA/DMA-Beratung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ca. 600.000 EUR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Krisenübungen, Schulungen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100.000 EUR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b/>
                <w:sz w:val="20"/>
              </w:rPr>
              <w:t>Gesamt (geschätzt)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b/>
                <w:sz w:val="20"/>
              </w:rPr>
              <w:t>ca. 5,7 Mio. EUR</w:t>
            </w:r>
          </w:p>
        </w:tc>
      </w:tr>
    </w:tbl>
    <w:p/>
    <w:p>
      <w:pPr>
        <w:pStyle w:val="Heading2"/>
      </w:pPr>
      <w:r>
        <w:rPr>
          <w:rFonts w:ascii="Times New Roman" w:hAnsi="Times New Roman"/>
        </w:rPr>
        <w:t>8. Rechtsgrundlagen</w:t>
      </w:r>
    </w:p>
    <w:p>
      <w:pPr>
        <w:pStyle w:val="ListBullet"/>
      </w:pPr>
      <w:r>
        <w:t>Art. 43 DSA (EU) 2022/2065 — Aufsichtsabgabe</w:t>
      </w:r>
    </w:p>
    <w:p>
      <w:pPr>
        <w:pStyle w:val="ListBullet"/>
      </w:pPr>
      <w:r>
        <w:t>Delegierte Verordnung (EU) 2023/2411 — Berechnungsmethodik</w:t>
      </w:r>
    </w:p>
    <w:p>
      <w:pPr>
        <w:jc w:val="left"/>
      </w:pPr>
      <w:r>
        <w:rPr>
          <w:b/>
        </w:rPr>
        <w:t>Quellen:</w:t>
      </w:r>
    </w:p>
    <w:p>
      <w:pPr>
        <w:pStyle w:val="ListBullet"/>
      </w:pPr>
      <w:r>
        <w:t>Verordnung (EU) 2022/2065 (DSA), EUR-Lex: https://eur-lex.europa.eu/legal-content/DE/TXT/?uri=CELEX%3A32022R2065</w:t>
      </w:r>
    </w:p>
    <w:p>
      <w:pPr>
        <w:pStyle w:val="ListBullet"/>
      </w:pPr>
      <w:r>
        <w:t>Delegierte Verordnung (EU) 2023/2411, EUR-Lex: https://eur-lex.europa.eu/legal-content/DE/TXT/?uri=CELEX%3A32023R2411</w:t>
      </w:r>
    </w:p>
    <w:p/>
    <w:p>
      <w:pPr>
        <w:jc w:val="left"/>
      </w:pPr>
      <w:r>
        <w:rPr>
          <w:i/>
        </w:rPr>
        <w:t>Bearbeitung: RA Felix Wendland</w:t>
      </w:r>
    </w:p>
    <w:p>
      <w:pPr>
        <w:jc w:val="left"/>
      </w:pPr>
      <w:r>
        <w:rPr>
          <w:i/>
        </w:rPr>
        <w:t>Stand: 17. April 2026</w:t>
      </w:r>
    </w:p>
    <w:sectPr w:rsidR="00FC693F" w:rsidRPr="0006063C" w:rsidSect="00034616">
      <w:pgSz w:w="11906" w:h="16838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/>
      <w:b/>
      <w:bCs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Times New Roman" w:hAnsi="Times New Roman"/>
      <w:b/>
      <w:bCs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Times New Roman" w:hAnsi="Times New Roman"/>
      <w:b/>
      <w:bCs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