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20 — Compliance Governance und Datenschutzbeauftragter</w:t>
      </w:r>
    </w:p>
    <w:p>
      <w:pPr>
        <w:jc w:val="left"/>
      </w:pPr>
      <w:r>
        <w:rPr>
          <w:b/>
        </w:rPr>
        <w:t>Az. Kanzlei:</w:t>
      </w:r>
      <w:r>
        <w:t xml:space="preserve"> KRS-2026-0318-DSA</w:t>
      </w:r>
    </w:p>
    <w:p>
      <w:pPr>
        <w:jc w:val="left"/>
      </w:pPr>
      <w:r>
        <w:rPr>
          <w:b/>
        </w:rPr>
        <w:t>Bearbeitung:</w:t>
      </w:r>
      <w:r>
        <w:t xml:space="preserve"> RAin Dr. Philippa Groth-Steinberg</w:t>
      </w:r>
    </w:p>
    <w:p>
      <w:pPr>
        <w:jc w:val="left"/>
      </w:pPr>
      <w:r>
        <w:rPr>
          <w:b/>
        </w:rPr>
        <w:t>Stand:</w:t>
      </w:r>
      <w:r>
        <w:t xml:space="preserve"> 19. April 2026</w:t>
      </w:r>
    </w:p>
    <w:p/>
    <w:p>
      <w:pPr>
        <w:pStyle w:val="Heading2"/>
      </w:pPr>
      <w:r>
        <w:rPr>
          <w:rFonts w:ascii="Times New Roman" w:hAnsi="Times New Roman"/>
        </w:rPr>
        <w:t>1. DSA-Compliance-Governance: Anforderungen</w:t>
      </w:r>
    </w:p>
    <w:p>
      <w:pPr>
        <w:jc w:val="left"/>
      </w:pPr>
      <w:r>
        <w:t>Das DSA enthält keine explizite Anforderung an eine bestimmte Governance-Struktur, verlangt aber implizit durch die Dokumentations- und Berichtspflichten (Art. 34-42 DSA) eine funktionsfähige interne Compliance-Organisation. Die Kanzlei empfiehlt eine strukturierte DSA-Compliance-Governance auf drei Ebenen.</w:t>
      </w:r>
    </w:p>
    <w:p/>
    <w:p>
      <w:pPr>
        <w:pStyle w:val="Heading2"/>
      </w:pPr>
      <w:r>
        <w:rPr>
          <w:rFonts w:ascii="Times New Roman" w:hAnsi="Times New Roman"/>
        </w:rPr>
        <w:t>2. Dreistufige Governance-Struktur</w:t>
      </w:r>
    </w:p>
    <w:p>
      <w:pPr>
        <w:pStyle w:val="Heading3"/>
      </w:pPr>
      <w:r>
        <w:rPr>
          <w:rFonts w:ascii="Times New Roman" w:hAnsi="Times New Roman"/>
        </w:rPr>
        <w:t>Ebene 1 — Strategische Ebene: Geschäftsführung</w:t>
      </w:r>
    </w:p>
    <w:p>
      <w:pPr>
        <w:pStyle w:val="ListBullet"/>
      </w:pPr>
      <w:r>
        <w:rPr>
          <w:b/>
        </w:rPr>
        <w:t>Verantwortlichkeit:</w:t>
      </w:r>
      <w:r>
        <w:t xml:space="preserve"> Dr. Yilmaz Erbakan (CEO) trägt die Gesamtverantwortung für DSA-Compliance.</w:t>
      </w:r>
    </w:p>
    <w:p>
      <w:pPr>
        <w:pStyle w:val="ListBullet"/>
      </w:pPr>
      <w:r>
        <w:rPr>
          <w:b/>
        </w:rPr>
        <w:t>Aufgaben:</w:t>
      </w:r>
      <w:r>
        <w:t xml:space="preserve"> Strategie, Ressourcenzuweisung (Personal, Budget), Entscheidungen über Compliance-Investitionen, Kommunikation mit Kommission und BNetzA auf Leitungsebene.</w:t>
      </w:r>
    </w:p>
    <w:p>
      <w:pPr>
        <w:pStyle w:val="ListBullet"/>
      </w:pPr>
      <w:r>
        <w:rPr>
          <w:b/>
        </w:rPr>
        <w:t>Reporting-Frequenz:</w:t>
      </w:r>
      <w:r>
        <w:t xml:space="preserve"> Quartalsweise Compliance-Status-Briefing durch Legal.</w:t>
      </w:r>
    </w:p>
    <w:p>
      <w:pPr>
        <w:pStyle w:val="Heading3"/>
      </w:pPr>
      <w:r>
        <w:rPr>
          <w:rFonts w:ascii="Times New Roman" w:hAnsi="Times New Roman"/>
        </w:rPr>
        <w:t>Ebene 2 — Operative Ebene: DSA Compliance Officer</w:t>
      </w:r>
    </w:p>
    <w:p>
      <w:pPr>
        <w:pStyle w:val="ListBullet"/>
      </w:pPr>
      <w:r>
        <w:rPr>
          <w:b/>
        </w:rPr>
        <w:t>Stelle:</w:t>
      </w:r>
      <w:r>
        <w:t xml:space="preserve"> Neu zu schaffende Position "Head of DSA Compliance" (intern oder extern).</w:t>
      </w:r>
    </w:p>
    <w:p>
      <w:pPr>
        <w:pStyle w:val="ListBullet"/>
      </w:pPr>
      <w:r>
        <w:rPr>
          <w:b/>
        </w:rPr>
        <w:t>Anforderungen:</w:t>
      </w:r>
      <w:r>
        <w:t xml:space="preserve"> Kenntnisse im EU-Plattformrecht, Datenschutz, Trust &amp; Safety-Prozessen.</w:t>
      </w:r>
    </w:p>
    <w:p>
      <w:pPr>
        <w:pStyle w:val="ListBullet"/>
      </w:pPr>
      <w:r>
        <w:rPr>
          <w:b/>
        </w:rPr>
        <w:t>Aufgaben:</w:t>
      </w:r>
      <w:r>
        <w:t xml:space="preserve"> Koordination der Maßnahmenumsetzung, Schnittstelle zu Behörden, Erstellung Transparenzberichte, Kommunikation mit externen Auditoren.</w:t>
      </w:r>
    </w:p>
    <w:p>
      <w:pPr>
        <w:pStyle w:val="ListBullet"/>
      </w:pPr>
      <w:r>
        <w:rPr>
          <w:b/>
        </w:rPr>
        <w:t>Einstellungsziel:</w:t>
      </w:r>
      <w:r>
        <w:t xml:space="preserve"> Bis 01. Juni 2026.</w:t>
      </w:r>
    </w:p>
    <w:p>
      <w:pPr>
        <w:pStyle w:val="Heading3"/>
      </w:pPr>
      <w:r>
        <w:rPr>
          <w:rFonts w:ascii="Times New Roman" w:hAnsi="Times New Roman"/>
        </w:rPr>
        <w:t>Ebene 3 — Fachebene: Fachabteilungen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Abteilung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DSA-Verantwortung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Trust &amp; Safety (Björn Fiedler-Möller)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Notice-and-Action, Trusted Flagger, Krisenreaktion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Tech / CTO (Fatima Schröder)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Algorithmus-Transparenz, Non-Profiling-Option, Repository-Technik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Legal (Lena Maaßen)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Transparenzberichte, Behördenkommunikation, Vertragsgestaltung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DPO (Dr. Kerstin Nolde-Braun)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DSGVO/DSA-Schnittstelle, Forschungsdatenzugang, Datenschutz-Folgenabschätzungen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Aufsichtsabgabe, Compliance-Budgetplanung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Datenschutzbeauftragter (DPO) und DSA-Schnittstelle</w:t>
      </w:r>
    </w:p>
    <w:p>
      <w:pPr>
        <w:pStyle w:val="Heading3"/>
      </w:pPr>
      <w:r>
        <w:rPr>
          <w:rFonts w:ascii="Times New Roman" w:hAnsi="Times New Roman"/>
        </w:rPr>
        <w:t>3.1 Rolle des DPO nach DSGVO</w:t>
      </w:r>
    </w:p>
    <w:p>
      <w:pPr>
        <w:jc w:val="left"/>
      </w:pPr>
      <w:r>
        <w:t>Dr. Kerstin Nolde-Braun wurde nach Art. 37 DSGVO als Datenschutzbeauftragte benannt. Sie ist Anlaufstelle für Aufsichtsbehörden in Datenschutzfragen und überwacht die DSGVO-Konformität aller Datenverarbeitungen.</w:t>
      </w:r>
    </w:p>
    <w:p>
      <w:pPr>
        <w:pStyle w:val="Heading3"/>
      </w:pPr>
      <w:r>
        <w:rPr>
          <w:rFonts w:ascii="Times New Roman" w:hAnsi="Times New Roman"/>
        </w:rPr>
        <w:t>3.2 DSA/DSGVO-Schnittstellenfragen</w:t>
      </w:r>
    </w:p>
    <w:p>
      <w:pPr>
        <w:jc w:val="left"/>
      </w:pPr>
      <w:r>
        <w:t>Das DSA enthält mehrere Punkte, an denen DSGVO und DSA miteinander interagieren: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DSA-Pflicht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DSGVO-Relevanz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Koordination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Non-Profiling-Option (Art. 27 DSA)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21 DSGVO (Widerspruchsrecht)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technische Umsetzung verknüpfen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Forschungsdatenzugang (Art. 40 DSA)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89 DSGVO (Forschungsausnahme)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DPO muss Datenzugangsvereinbarung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Werbeanzeigen-Repository (Art. 39 DSA)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5 DSGVO (Datensparsamkeit)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Targeting-Daten ohne Personenbezug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Risikobewertung (Art. 34 DSA)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35 DSGVO (DSFA)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inhaltliche Überschneidung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Monatliches Jour fixe zwischen Legal (Lena Maaßen), DPO (Dr. Nolde-Braun) und Head of DSA Compliance.</w:t>
      </w:r>
    </w:p>
    <w:p/>
    <w:p>
      <w:pPr>
        <w:pStyle w:val="Heading2"/>
      </w:pPr>
      <w:r>
        <w:rPr>
          <w:rFonts w:ascii="Times New Roman" w:hAnsi="Times New Roman"/>
        </w:rPr>
        <w:t>4. Interne Beschwerdestelle (Art. 20 DSA)</w:t>
      </w:r>
    </w:p>
    <w:p>
      <w:pPr>
        <w:jc w:val="left"/>
      </w:pPr>
      <w:r>
        <w:t>Art. 20 DSA verpflichtet VLOPs zur Einrichtung einer internen Beschwerdestelle, an die Nutzer Beschwerden gegen Moderationsentscheidungen richten können. Anforderungen:</w:t>
      </w:r>
    </w:p>
    <w:p>
      <w:pPr>
        <w:pStyle w:val="ListBullet"/>
      </w:pPr>
      <w:r>
        <w:t>Kostenfrei für Nutzer</w:t>
      </w:r>
    </w:p>
    <w:p>
      <w:pPr>
        <w:pStyle w:val="ListBullet"/>
      </w:pPr>
      <w:r>
        <w:t>Einfach zugänglich (direkter Link von jeder Moderationsentscheidungs-Benachrichtigung)</w:t>
      </w:r>
    </w:p>
    <w:p>
      <w:pPr>
        <w:pStyle w:val="ListBullet"/>
      </w:pPr>
      <w:r>
        <w:t>Bearbeitung "ohne unnötige Verzögerung" (empfohlen: 14 Tage für Standardfälle)</w:t>
      </w:r>
    </w:p>
    <w:p>
      <w:pPr>
        <w:pStyle w:val="ListBullet"/>
      </w:pPr>
      <w:r>
        <w:t>Schriftliche Begründung der Beschwerdeentscheidung</w:t>
      </w:r>
    </w:p>
    <w:p>
      <w:pPr>
        <w:pStyle w:val="ListBullet"/>
      </w:pPr>
      <w:r>
        <w:t>Hinweis auf außergerichtliche Streitbeilegung nach Art. 21 DSA (anerkannte Streitbeilegungsstellen)</w:t>
      </w:r>
    </w:p>
    <w:p>
      <w:pPr>
        <w:jc w:val="left"/>
      </w:pPr>
      <w:r>
        <w:rPr>
          <w:b/>
        </w:rPr>
        <w:t>Status:</w:t>
      </w:r>
      <w:r>
        <w:t xml:space="preserve"> Halmweise.de verfügt über ein internes Beschwerdeverfahren ("Appeal"-Funktion), das jedoch technisch nicht vollständig mit Art. 20 DSA kompatibel ist (keine schriftliche Begründung, kein Art. 21 DSA-Hinweis). Nachbesserung bis 14.07.2026.</w:t>
      </w:r>
    </w:p>
    <w:p/>
    <w:p>
      <w:pPr>
        <w:pStyle w:val="Heading2"/>
      </w:pPr>
      <w:r>
        <w:rPr>
          <w:rFonts w:ascii="Times New Roman" w:hAnsi="Times New Roman"/>
        </w:rPr>
        <w:t>5. Außergerichtliche Streitbeilegung (Art. 21 DSA)</w:t>
      </w:r>
    </w:p>
    <w:p>
      <w:pPr>
        <w:jc w:val="left"/>
      </w:pPr>
      <w:r>
        <w:t>VLOPs müssen Nutzern die Möglichkeit zur außergerichtlichen Streitbeilegung durch zertifizierte Streitbeilegungsstellen ermöglichen. Die BNetzA ist dabei, eine Liste zertifizierter Stellen zu veröffentlichen. Sobald veröffentlicht: Integration eines Verweises in alle Beschwerdeentscheidungs-E-Mails.</w:t>
      </w:r>
    </w:p>
    <w:p/>
    <w:p>
      <w:pPr>
        <w:pStyle w:val="Heading2"/>
      </w:pPr>
      <w:r>
        <w:rPr>
          <w:rFonts w:ascii="Times New Roman" w:hAnsi="Times New Roman"/>
        </w:rPr>
        <w:t>6. Schulungskonzept</w:t>
      </w:r>
    </w:p>
    <w:p>
      <w:pPr>
        <w:jc w:val="left"/>
      </w:pPr>
      <w:r>
        <w:t>Alle Trust &amp; Safety-Mitarbeiter sowie relevante Tech-Teams sind jährlich in DSA-Pflichten zu schulen. Empfehlungen:</w:t>
      </w:r>
    </w:p>
    <w:p>
      <w:pPr>
        <w:pStyle w:val="ListBullet"/>
      </w:pPr>
      <w:r>
        <w:rPr>
          <w:b/>
        </w:rPr>
        <w:t>Onboarding:</w:t>
      </w:r>
      <w:r>
        <w:t xml:space="preserve"> 4-stündige DSA-Pflichtschulung für alle neuen Trust &amp; Safety Mitarbeiter</w:t>
      </w:r>
    </w:p>
    <w:p>
      <w:pPr>
        <w:pStyle w:val="ListBullet"/>
      </w:pPr>
      <w:r>
        <w:rPr>
          <w:b/>
        </w:rPr>
        <w:t>Jährliches Update:</w:t>
      </w:r>
      <w:r>
        <w:t xml:space="preserve"> 2-stündiges Update für bestehendes Personal nach jeder wesentlichen DSA-Änderung</w:t>
      </w:r>
    </w:p>
    <w:p>
      <w:pPr>
        <w:pStyle w:val="ListBullet"/>
      </w:pPr>
      <w:r>
        <w:rPr>
          <w:b/>
        </w:rPr>
        <w:t>Führungskräfte:</w:t>
      </w:r>
      <w:r>
        <w:t xml:space="preserve"> Quartalsweise Briefing durch Kanzlei zu aktuellen Entwicklungen</w:t>
      </w:r>
    </w:p>
    <w:p/>
    <w:p>
      <w:pPr>
        <w:pStyle w:val="Heading2"/>
      </w:pPr>
      <w:r>
        <w:rPr>
          <w:rFonts w:ascii="Times New Roman" w:hAnsi="Times New Roman"/>
        </w:rPr>
        <w:t>7. Rechtsgrundlagen</w:t>
      </w:r>
    </w:p>
    <w:p>
      <w:pPr>
        <w:pStyle w:val="ListBullet"/>
      </w:pPr>
      <w:r>
        <w:t>Art. 20, 21 DSA (EU) 2022/2065 — Interne Beschwerdestelle und außergerichtliche Streitbeilegung</w:t>
      </w:r>
    </w:p>
    <w:p>
      <w:pPr>
        <w:pStyle w:val="ListBullet"/>
      </w:pPr>
      <w:r>
        <w:t>Art. 37, 38 DSGVO (EU) 2016/679 — Datenschutzbeauftragter</w:t>
      </w:r>
    </w:p>
    <w:p>
      <w:pPr>
        <w:pStyle w:val="ListBullet"/>
      </w:pPr>
      <w:r>
        <w:t>Art. 35 DSGVO — Datenschutz-Folgenabschätzung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Verordnung (EU) 2022/2065 (DSA), EUR-Lex: https://eur-lex.europa.eu/legal-content/DE/TXT/?uri=CELEX%3A32022R2065</w:t>
      </w:r>
    </w:p>
    <w:p>
      <w:pPr>
        <w:pStyle w:val="ListBullet"/>
      </w:pPr>
      <w:r>
        <w:t>Verordnung (EU) 2016/679 (DSGVO), EUR-Lex: https://eur-lex.europa.eu/legal-content/DE/TXT/?uri=CELEX%3A32016R0679</w:t>
      </w:r>
    </w:p>
    <w:p/>
    <w:p>
      <w:pPr>
        <w:jc w:val="left"/>
      </w:pPr>
      <w:r>
        <w:rPr>
          <w:i/>
        </w:rPr>
        <w:t>Bearbeiterin: RAin Dr. Philippa Groth-Steinberg</w:t>
      </w:r>
    </w:p>
    <w:p>
      <w:pPr>
        <w:jc w:val="left"/>
      </w:pPr>
      <w:r>
        <w:rPr>
          <w:i/>
        </w:rPr>
        <w:t>Stand: 19. April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