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21 — Chronologie und Taktikübersicht</w:t>
      </w:r>
    </w:p>
    <w:p>
      <w:pPr>
        <w:jc w:val="left"/>
      </w:pPr>
      <w:r>
        <w:rPr>
          <w:b/>
        </w:rPr>
        <w:t>Az. Kanzlei:</w:t>
      </w:r>
      <w:r>
        <w:t xml:space="preserve"> KRS-2026-0318-DSA</w:t>
      </w:r>
    </w:p>
    <w:p>
      <w:pPr>
        <w:jc w:val="left"/>
      </w:pPr>
      <w:r>
        <w:rPr>
          <w:b/>
        </w:rPr>
        <w:t>Bearbeitung:</w:t>
      </w:r>
      <w:r>
        <w:t xml:space="preserve"> RAin Dr. Philippa Groth-Steinberg</w:t>
      </w:r>
    </w:p>
    <w:p>
      <w:pPr>
        <w:jc w:val="left"/>
      </w:pPr>
      <w:r>
        <w:rPr>
          <w:b/>
        </w:rPr>
        <w:t>Stand:</w:t>
      </w:r>
      <w:r>
        <w:t xml:space="preserve"> 20. April 2026</w:t>
      </w:r>
    </w:p>
    <w:p/>
    <w:p>
      <w:pPr>
        <w:pStyle w:val="Heading2"/>
      </w:pPr>
      <w:r>
        <w:rPr>
          <w:rFonts w:ascii="Times New Roman" w:hAnsi="Times New Roman"/>
        </w:rPr>
        <w:t>1. Chronologie der Verfahrensereignisse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Ereignis</w:t>
            </w:r>
          </w:p>
        </w:tc>
        <w:tc>
          <w:tcPr>
            <w:tcW w:type="dxa" w:w="3024"/>
          </w:tcPr>
          <w:p>
            <w:r>
              <w:rPr>
                <w:rFonts w:ascii="Times New Roman" w:hAnsi="Times New Roman"/>
                <w:b/>
                <w:sz w:val="20"/>
              </w:rPr>
              <w:t>Akte</w:t>
            </w:r>
          </w:p>
        </w:tc>
      </w:tr>
      <w:tr>
        <w:tc>
          <w:tcPr>
            <w:tcW w:type="dxa" w:w="3024"/>
          </w:tcPr>
          <w:p>
            <w:r>
              <w:rPr>
                <w:rFonts w:ascii="Times New Roman" w:hAnsi="Times New Roman"/>
                <w:sz w:val="20"/>
              </w:rPr>
              <w:t>15.01.2026</w:t>
            </w:r>
          </w:p>
        </w:tc>
        <w:tc>
          <w:tcPr>
            <w:tcW w:type="dxa" w:w="3024"/>
          </w:tcPr>
          <w:p>
            <w:r>
              <w:rPr>
                <w:rFonts w:ascii="Times New Roman" w:hAnsi="Times New Roman"/>
                <w:sz w:val="20"/>
              </w:rPr>
              <w:t>Meldung Nutzerzahlen (51 Mio.) an Kommission und BNetzA nach Art. 24 DSA</w:t>
            </w:r>
          </w:p>
        </w:tc>
        <w:tc>
          <w:tcPr>
            <w:tcW w:type="dxa" w:w="3024"/>
          </w:tcPr>
          <w:p>
            <w:r>
              <w:rPr>
                <w:rFonts w:ascii="Times New Roman" w:hAnsi="Times New Roman"/>
                <w:sz w:val="20"/>
              </w:rPr>
              <w:t>—</w:t>
            </w:r>
          </w:p>
        </w:tc>
      </w:tr>
      <w:tr>
        <w:tc>
          <w:tcPr>
            <w:tcW w:type="dxa" w:w="3024"/>
          </w:tcPr>
          <w:p>
            <w:r>
              <w:rPr>
                <w:rFonts w:ascii="Times New Roman" w:hAnsi="Times New Roman"/>
                <w:sz w:val="20"/>
              </w:rPr>
              <w:t>10.03.2026</w:t>
            </w:r>
          </w:p>
        </w:tc>
        <w:tc>
          <w:tcPr>
            <w:tcW w:type="dxa" w:w="3024"/>
          </w:tcPr>
          <w:p>
            <w:r>
              <w:rPr>
                <w:rFonts w:ascii="Times New Roman" w:hAnsi="Times New Roman"/>
                <w:sz w:val="20"/>
              </w:rPr>
              <w:t>Ablehnungsbescheid DMA-Gatekeeper-Designation</w:t>
            </w:r>
          </w:p>
        </w:tc>
        <w:tc>
          <w:tcPr>
            <w:tcW w:type="dxa" w:w="3024"/>
          </w:tcPr>
          <w:p>
            <w:r>
              <w:rPr>
                <w:rFonts w:ascii="Times New Roman" w:hAnsi="Times New Roman"/>
                <w:sz w:val="20"/>
              </w:rPr>
              <w:t>Aktenstück 15</w:t>
            </w:r>
          </w:p>
        </w:tc>
      </w:tr>
      <w:tr>
        <w:tc>
          <w:tcPr>
            <w:tcW w:type="dxa" w:w="3024"/>
          </w:tcPr>
          <w:p>
            <w:r>
              <w:rPr>
                <w:rFonts w:ascii="Times New Roman" w:hAnsi="Times New Roman"/>
                <w:sz w:val="20"/>
              </w:rPr>
              <w:t>05.03.2026</w:t>
            </w:r>
          </w:p>
        </w:tc>
        <w:tc>
          <w:tcPr>
            <w:tcW w:type="dxa" w:w="3024"/>
          </w:tcPr>
          <w:p>
            <w:r>
              <w:rPr>
                <w:rFonts w:ascii="Times New Roman" w:hAnsi="Times New Roman"/>
                <w:sz w:val="20"/>
              </w:rPr>
              <w:t>Aktivierung Krisenreaktionsmechanismus Art. 36 DSA (Berliner Anschlag)</w:t>
            </w:r>
          </w:p>
        </w:tc>
        <w:tc>
          <w:tcPr>
            <w:tcW w:type="dxa" w:w="3024"/>
          </w:tcPr>
          <w:p>
            <w:r>
              <w:rPr>
                <w:rFonts w:ascii="Times New Roman" w:hAnsi="Times New Roman"/>
                <w:sz w:val="20"/>
              </w:rPr>
              <w:t>Aktenstück 13</w:t>
            </w:r>
          </w:p>
        </w:tc>
      </w:tr>
      <w:tr>
        <w:tc>
          <w:tcPr>
            <w:tcW w:type="dxa" w:w="3024"/>
          </w:tcPr>
          <w:p>
            <w:r>
              <w:rPr>
                <w:rFonts w:ascii="Times New Roman" w:hAnsi="Times New Roman"/>
                <w:sz w:val="20"/>
              </w:rPr>
              <w:t>14.03.2026</w:t>
            </w:r>
          </w:p>
        </w:tc>
        <w:tc>
          <w:tcPr>
            <w:tcW w:type="dxa" w:w="3024"/>
          </w:tcPr>
          <w:p>
            <w:r>
              <w:rPr>
                <w:rFonts w:ascii="Times New Roman" w:hAnsi="Times New Roman"/>
                <w:sz w:val="20"/>
              </w:rPr>
              <w:t>VLOP-Designation Körnerstrom Social GmbH (Az. CASE COMP M.92188)</w:t>
            </w:r>
          </w:p>
        </w:tc>
        <w:tc>
          <w:tcPr>
            <w:tcW w:type="dxa" w:w="3024"/>
          </w:tcPr>
          <w:p>
            <w:r>
              <w:rPr>
                <w:rFonts w:ascii="Times New Roman" w:hAnsi="Times New Roman"/>
                <w:sz w:val="20"/>
              </w:rPr>
              <w:t>Aktenstück 03</w:t>
            </w:r>
          </w:p>
        </w:tc>
      </w:tr>
      <w:tr>
        <w:tc>
          <w:tcPr>
            <w:tcW w:type="dxa" w:w="3024"/>
          </w:tcPr>
          <w:p>
            <w:r>
              <w:rPr>
                <w:rFonts w:ascii="Times New Roman" w:hAnsi="Times New Roman"/>
                <w:sz w:val="20"/>
              </w:rPr>
              <w:t>16.03.2026</w:t>
            </w:r>
          </w:p>
        </w:tc>
        <w:tc>
          <w:tcPr>
            <w:tcW w:type="dxa" w:w="3024"/>
          </w:tcPr>
          <w:p>
            <w:r>
              <w:rPr>
                <w:rFonts w:ascii="Times New Roman" w:hAnsi="Times New Roman"/>
                <w:sz w:val="20"/>
              </w:rPr>
              <w:t>Veröffentlichung Designationsbeschluss im Amtsblatt der EU</w:t>
            </w:r>
          </w:p>
        </w:tc>
        <w:tc>
          <w:tcPr>
            <w:tcW w:type="dxa" w:w="3024"/>
          </w:tcPr>
          <w:p>
            <w:r>
              <w:rPr>
                <w:rFonts w:ascii="Times New Roman" w:hAnsi="Times New Roman"/>
                <w:sz w:val="20"/>
              </w:rPr>
              <w:t>Aktenstück 03</w:t>
            </w:r>
          </w:p>
        </w:tc>
      </w:tr>
      <w:tr>
        <w:tc>
          <w:tcPr>
            <w:tcW w:type="dxa" w:w="3024"/>
          </w:tcPr>
          <w:p>
            <w:r>
              <w:rPr>
                <w:rFonts w:ascii="Times New Roman" w:hAnsi="Times New Roman"/>
                <w:sz w:val="20"/>
              </w:rPr>
              <w:t>18.03.2026</w:t>
            </w:r>
          </w:p>
        </w:tc>
        <w:tc>
          <w:tcPr>
            <w:tcW w:type="dxa" w:w="3024"/>
          </w:tcPr>
          <w:p>
            <w:r>
              <w:rPr>
                <w:rFonts w:ascii="Times New Roman" w:hAnsi="Times New Roman"/>
                <w:sz w:val="20"/>
              </w:rPr>
              <w:t>Mandatsannahme Kanzlei Klotzkette</w:t>
            </w:r>
          </w:p>
        </w:tc>
        <w:tc>
          <w:tcPr>
            <w:tcW w:type="dxa" w:w="3024"/>
          </w:tcPr>
          <w:p>
            <w:r>
              <w:rPr>
                <w:rFonts w:ascii="Times New Roman" w:hAnsi="Times New Roman"/>
                <w:sz w:val="20"/>
              </w:rPr>
              <w:t>Aktenstück 01</w:t>
            </w:r>
          </w:p>
        </w:tc>
      </w:tr>
      <w:tr>
        <w:tc>
          <w:tcPr>
            <w:tcW w:type="dxa" w:w="3024"/>
          </w:tcPr>
          <w:p>
            <w:r>
              <w:rPr>
                <w:rFonts w:ascii="Times New Roman" w:hAnsi="Times New Roman"/>
                <w:sz w:val="20"/>
              </w:rPr>
              <w:t>02.04.2026</w:t>
            </w:r>
          </w:p>
        </w:tc>
        <w:tc>
          <w:tcPr>
            <w:tcW w:type="dxa" w:w="3024"/>
          </w:tcPr>
          <w:p>
            <w:r>
              <w:rPr>
                <w:rFonts w:ascii="Times New Roman" w:hAnsi="Times New Roman"/>
                <w:sz w:val="20"/>
              </w:rPr>
              <w:t>Mahnschreiben BNetzA (Az. BNetzA-DSC-2026-188)</w:t>
            </w:r>
          </w:p>
        </w:tc>
        <w:tc>
          <w:tcPr>
            <w:tcW w:type="dxa" w:w="3024"/>
          </w:tcPr>
          <w:p>
            <w:r>
              <w:rPr>
                <w:rFonts w:ascii="Times New Roman" w:hAnsi="Times New Roman"/>
                <w:sz w:val="20"/>
              </w:rPr>
              <w:t>Aktenstück 14</w:t>
            </w:r>
          </w:p>
        </w:tc>
      </w:tr>
      <w:tr>
        <w:tc>
          <w:tcPr>
            <w:tcW w:type="dxa" w:w="3024"/>
          </w:tcPr>
          <w:p>
            <w:r>
              <w:rPr>
                <w:rFonts w:ascii="Times New Roman" w:hAnsi="Times New Roman"/>
                <w:sz w:val="20"/>
              </w:rPr>
              <w:t>04.04.2026</w:t>
            </w:r>
          </w:p>
        </w:tc>
        <w:tc>
          <w:tcPr>
            <w:tcW w:type="dxa" w:w="3024"/>
          </w:tcPr>
          <w:p>
            <w:r>
              <w:rPr>
                <w:rFonts w:ascii="Times New Roman" w:hAnsi="Times New Roman"/>
                <w:sz w:val="20"/>
              </w:rPr>
              <w:t>Eingang Mahnschreiben bei Körnerstrom Social GmbH</w:t>
            </w:r>
          </w:p>
        </w:tc>
        <w:tc>
          <w:tcPr>
            <w:tcW w:type="dxa" w:w="3024"/>
          </w:tcPr>
          <w:p>
            <w:r>
              <w:rPr>
                <w:rFonts w:ascii="Times New Roman" w:hAnsi="Times New Roman"/>
                <w:sz w:val="20"/>
              </w:rPr>
              <w:t>Aktenstück 14</w:t>
            </w:r>
          </w:p>
        </w:tc>
      </w:tr>
      <w:tr>
        <w:tc>
          <w:tcPr>
            <w:tcW w:type="dxa" w:w="3024"/>
          </w:tcPr>
          <w:p>
            <w:r>
              <w:rPr>
                <w:rFonts w:ascii="Times New Roman" w:hAnsi="Times New Roman"/>
                <w:sz w:val="20"/>
              </w:rPr>
              <w:t>12.04.2026</w:t>
            </w:r>
          </w:p>
        </w:tc>
        <w:tc>
          <w:tcPr>
            <w:tcW w:type="dxa" w:w="3024"/>
          </w:tcPr>
          <w:p>
            <w:r>
              <w:rPr>
                <w:rFonts w:ascii="Times New Roman" w:hAnsi="Times New Roman"/>
                <w:sz w:val="20"/>
              </w:rPr>
              <w:t>Kooperationsanfrage Deutsche Hass-Stopp e.V. (Trusted Flagger)</w:t>
            </w:r>
          </w:p>
        </w:tc>
        <w:tc>
          <w:tcPr>
            <w:tcW w:type="dxa" w:w="3024"/>
          </w:tcPr>
          <w:p>
            <w:r>
              <w:rPr>
                <w:rFonts w:ascii="Times New Roman" w:hAnsi="Times New Roman"/>
                <w:sz w:val="20"/>
              </w:rPr>
              <w:t>Aktenstück 09</w:t>
            </w:r>
          </w:p>
        </w:tc>
      </w:tr>
      <w:tr>
        <w:tc>
          <w:tcPr>
            <w:tcW w:type="dxa" w:w="3024"/>
          </w:tcPr>
          <w:p>
            <w:r>
              <w:rPr>
                <w:rFonts w:ascii="Times New Roman" w:hAnsi="Times New Roman"/>
                <w:sz w:val="20"/>
              </w:rPr>
              <w:t>15.04.2026</w:t>
            </w:r>
          </w:p>
        </w:tc>
        <w:tc>
          <w:tcPr>
            <w:tcW w:type="dxa" w:w="3024"/>
          </w:tcPr>
          <w:p>
            <w:r>
              <w:rPr>
                <w:rFonts w:ascii="Times New Roman" w:hAnsi="Times New Roman"/>
                <w:sz w:val="20"/>
              </w:rPr>
              <w:t>Aufnahme Gespräche mit Prof. Dr. Müller-Kaminski (Forschungszugang)</w:t>
            </w:r>
          </w:p>
        </w:tc>
        <w:tc>
          <w:tcPr>
            <w:tcW w:type="dxa" w:w="3024"/>
          </w:tcPr>
          <w:p>
            <w:r>
              <w:rPr>
                <w:rFonts w:ascii="Times New Roman" w:hAnsi="Times New Roman"/>
                <w:sz w:val="20"/>
              </w:rPr>
              <w:t>Aktenstück 12</w:t>
            </w:r>
          </w:p>
        </w:tc>
      </w:tr>
      <w:tr>
        <w:tc>
          <w:tcPr>
            <w:tcW w:type="dxa" w:w="3024"/>
          </w:tcPr>
          <w:p>
            <w:r>
              <w:rPr>
                <w:rFonts w:ascii="Times New Roman" w:hAnsi="Times New Roman"/>
                <w:sz w:val="20"/>
              </w:rPr>
              <w:t>08.05.2026</w:t>
            </w:r>
          </w:p>
        </w:tc>
        <w:tc>
          <w:tcPr>
            <w:tcW w:type="dxa" w:w="3024"/>
          </w:tcPr>
          <w:p>
            <w:r>
              <w:rPr>
                <w:rFonts w:ascii="Times New Roman" w:hAnsi="Times New Roman"/>
                <w:sz w:val="20"/>
              </w:rPr>
              <w:t>Angebot PwC für externen Audit</w:t>
            </w:r>
          </w:p>
        </w:tc>
        <w:tc>
          <w:tcPr>
            <w:tcW w:type="dxa" w:w="3024"/>
          </w:tcPr>
          <w:p>
            <w:r>
              <w:rPr>
                <w:rFonts w:ascii="Times New Roman" w:hAnsi="Times New Roman"/>
                <w:sz w:val="20"/>
              </w:rPr>
              <w:t>Aktenstück 06</w:t>
            </w:r>
          </w:p>
        </w:tc>
      </w:tr>
      <w:tr>
        <w:tc>
          <w:tcPr>
            <w:tcW w:type="dxa" w:w="3024"/>
          </w:tcPr>
          <w:p>
            <w:r>
              <w:rPr>
                <w:rFonts w:ascii="Times New Roman" w:hAnsi="Times New Roman"/>
                <w:b/>
                <w:sz w:val="20"/>
              </w:rPr>
              <w:t>30.04.2026</w:t>
            </w:r>
          </w:p>
        </w:tc>
        <w:tc>
          <w:tcPr>
            <w:tcW w:type="dxa" w:w="3024"/>
          </w:tcPr>
          <w:p>
            <w:r>
              <w:rPr>
                <w:rFonts w:ascii="Times New Roman" w:hAnsi="Times New Roman"/>
                <w:b/>
                <w:sz w:val="20"/>
              </w:rPr>
              <w:t>Frist: Stellungnahme BNetzA-Mahnverfahren</w:t>
            </w:r>
          </w:p>
        </w:tc>
        <w:tc>
          <w:tcPr>
            <w:tcW w:type="dxa" w:w="3024"/>
          </w:tcPr>
          <w:p>
            <w:r>
              <w:rPr>
                <w:rFonts w:ascii="Times New Roman" w:hAnsi="Times New Roman"/>
                <w:sz w:val="20"/>
              </w:rPr>
              <w:t>Aktenstück 14</w:t>
            </w:r>
          </w:p>
        </w:tc>
      </w:tr>
      <w:tr>
        <w:tc>
          <w:tcPr>
            <w:tcW w:type="dxa" w:w="3024"/>
          </w:tcPr>
          <w:p>
            <w:r>
              <w:rPr>
                <w:rFonts w:ascii="Times New Roman" w:hAnsi="Times New Roman"/>
                <w:b/>
                <w:sz w:val="20"/>
              </w:rPr>
              <w:t>14.05.2026</w:t>
            </w:r>
          </w:p>
        </w:tc>
        <w:tc>
          <w:tcPr>
            <w:tcW w:type="dxa" w:w="3024"/>
          </w:tcPr>
          <w:p>
            <w:r>
              <w:rPr>
                <w:rFonts w:ascii="Times New Roman" w:hAnsi="Times New Roman"/>
                <w:b/>
                <w:sz w:val="20"/>
              </w:rPr>
              <w:t>Frist: EuGH-Klage Designationsbeschluss (läuft ab, nicht einlegen empfohlen)</w:t>
            </w:r>
          </w:p>
        </w:tc>
        <w:tc>
          <w:tcPr>
            <w:tcW w:type="dxa" w:w="3024"/>
          </w:tcPr>
          <w:p>
            <w:r>
              <w:rPr>
                <w:rFonts w:ascii="Times New Roman" w:hAnsi="Times New Roman"/>
                <w:sz w:val="20"/>
              </w:rPr>
              <w:t>Aktenstück 19</w:t>
            </w:r>
          </w:p>
        </w:tc>
      </w:tr>
      <w:tr>
        <w:tc>
          <w:tcPr>
            <w:tcW w:type="dxa" w:w="3024"/>
          </w:tcPr>
          <w:p>
            <w:r>
              <w:rPr>
                <w:rFonts w:ascii="Times New Roman" w:hAnsi="Times New Roman"/>
                <w:b/>
                <w:sz w:val="20"/>
              </w:rPr>
              <w:t>14.07.2026</w:t>
            </w:r>
          </w:p>
        </w:tc>
        <w:tc>
          <w:tcPr>
            <w:tcW w:type="dxa" w:w="3024"/>
          </w:tcPr>
          <w:p>
            <w:r>
              <w:rPr>
                <w:rFonts w:ascii="Times New Roman" w:hAnsi="Times New Roman"/>
                <w:b/>
                <w:sz w:val="20"/>
              </w:rPr>
              <w:t>Frist: VLOP-Pflichten vollständig umgesetzt (Art. 33 Abs. 6 DSA)</w:t>
            </w:r>
          </w:p>
        </w:tc>
        <w:tc>
          <w:tcPr>
            <w:tcW w:type="dxa" w:w="3024"/>
          </w:tcPr>
          <w:p>
            <w:r>
              <w:rPr>
                <w:rFonts w:ascii="Times New Roman" w:hAnsi="Times New Roman"/>
                <w:sz w:val="20"/>
              </w:rPr>
              <w:t>Aktenstück 03</w:t>
            </w:r>
          </w:p>
        </w:tc>
      </w:tr>
      <w:tr>
        <w:tc>
          <w:tcPr>
            <w:tcW w:type="dxa" w:w="3024"/>
          </w:tcPr>
          <w:p>
            <w:r>
              <w:rPr>
                <w:rFonts w:ascii="Times New Roman" w:hAnsi="Times New Roman"/>
                <w:b/>
                <w:sz w:val="20"/>
              </w:rPr>
              <w:t>14.08.2026</w:t>
            </w:r>
          </w:p>
        </w:tc>
        <w:tc>
          <w:tcPr>
            <w:tcW w:type="dxa" w:w="3024"/>
          </w:tcPr>
          <w:p>
            <w:r>
              <w:rPr>
                <w:rFonts w:ascii="Times New Roman" w:hAnsi="Times New Roman"/>
                <w:b/>
                <w:sz w:val="20"/>
              </w:rPr>
              <w:t>Frist: Erstaudit abgeschlossen, Transparenzbericht vorgelegt</w:t>
            </w:r>
          </w:p>
        </w:tc>
        <w:tc>
          <w:tcPr>
            <w:tcW w:type="dxa" w:w="3024"/>
          </w:tcPr>
          <w:p>
            <w:r>
              <w:rPr>
                <w:rFonts w:ascii="Times New Roman" w:hAnsi="Times New Roman"/>
                <w:sz w:val="20"/>
              </w:rPr>
              <w:t>Aktenstück 17</w:t>
            </w:r>
          </w:p>
        </w:tc>
      </w:tr>
    </w:tbl>
    <w:p/>
    <w:p>
      <w:pPr>
        <w:pStyle w:val="Heading2"/>
      </w:pPr>
      <w:r>
        <w:rPr>
          <w:rFonts w:ascii="Times New Roman" w:hAnsi="Times New Roman"/>
        </w:rPr>
        <w:t>2. Kritischer Pfad</w:t>
      </w:r>
    </w:p>
    <w:p>
      <w:pPr>
        <w:jc w:val="left"/>
      </w:pPr>
      <w:r>
        <w:t>Der kritische Pfad für Körnerstrom Social GmbH ist:</w:t>
      </w:r>
    </w:p>
    <w:p>
      <w:pPr>
        <w:jc w:val="left"/>
      </w:pPr>
      <w:r>
        <w:t>```</w:t>
      </w:r>
    </w:p>
    <w:p>
      <w:pPr>
        <w:jc w:val="left"/>
      </w:pPr>
      <w:r>
        <w:t>18.03.2026 Mandatsannahme</w:t>
      </w:r>
    </w:p>
    <w:p>
      <w:pPr>
        <w:jc w:val="left"/>
      </w:pPr>
      <w:r>
        <w:t>↓</w:t>
      </w:r>
    </w:p>
    <w:p>
      <w:pPr>
        <w:jc w:val="left"/>
      </w:pPr>
      <w:r>
        <w:t>30.04.2026 Stellungnahme BNetzA (KRITISCH — externe Frist)</w:t>
      </w:r>
    </w:p>
    <w:p>
      <w:pPr>
        <w:jc w:val="left"/>
      </w:pPr>
      <w:r>
        <w:t>↓</w:t>
      </w:r>
    </w:p>
    <w:p>
      <w:pPr>
        <w:jc w:val="left"/>
      </w:pPr>
      <w:r>
        <w:t>15.06.2026 Non-Profiling-Option live (KRITISCH — BNetzA-Abhilfefrist)</w:t>
      </w:r>
    </w:p>
    <w:p>
      <w:pPr>
        <w:jc w:val="left"/>
      </w:pPr>
      <w:r>
        <w:t>↓</w:t>
      </w:r>
    </w:p>
    <w:p>
      <w:pPr>
        <w:jc w:val="left"/>
      </w:pPr>
      <w:r>
        <w:t>01.07.2026 Repository vollständig (KRITISCH — BNetzA-Abhilfefrist)</w:t>
      </w:r>
    </w:p>
    <w:p>
      <w:pPr>
        <w:jc w:val="left"/>
      </w:pPr>
      <w:r>
        <w:t>↓</w:t>
      </w:r>
    </w:p>
    <w:p>
      <w:pPr>
        <w:jc w:val="left"/>
      </w:pPr>
      <w:r>
        <w:t>14.07.2026 Alle VLOP-Pflichten erfüllt (KRITISCH — gesetzliche Frist)</w:t>
      </w:r>
    </w:p>
    <w:p>
      <w:pPr>
        <w:jc w:val="left"/>
      </w:pPr>
      <w:r>
        <w:t>↓</w:t>
      </w:r>
    </w:p>
    <w:p>
      <w:pPr>
        <w:jc w:val="left"/>
      </w:pPr>
      <w:r>
        <w:t>14.08.2026 Erstaudit abgeschlossen + Transparenzbericht</w:t>
      </w:r>
    </w:p>
    <w:p>
      <w:pPr>
        <w:jc w:val="left"/>
      </w:pPr>
      <w:r>
        <w:t>```</w:t>
      </w:r>
    </w:p>
    <w:p>
      <w:pPr>
        <w:jc w:val="left"/>
      </w:pPr>
      <w:r>
        <w:t>Jede Verzögerung in diesem Pfad verschärft das Bußgeldrisiko.</w:t>
      </w:r>
    </w:p>
    <w:p/>
    <w:p>
      <w:pPr>
        <w:pStyle w:val="Heading2"/>
      </w:pPr>
      <w:r>
        <w:rPr>
          <w:rFonts w:ascii="Times New Roman" w:hAnsi="Times New Roman"/>
        </w:rPr>
        <w:t>3. Parallele Verfahrensstränge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Strang</w:t>
            </w:r>
          </w:p>
        </w:tc>
        <w:tc>
          <w:tcPr>
            <w:tcW w:type="dxa" w:w="2268"/>
          </w:tcPr>
          <w:p>
            <w:r>
              <w:rPr>
                <w:rFonts w:ascii="Times New Roman" w:hAnsi="Times New Roman"/>
                <w:b/>
                <w:sz w:val="20"/>
              </w:rPr>
              <w:t>Verantwortlich</w:t>
            </w:r>
          </w:p>
        </w:tc>
        <w:tc>
          <w:tcPr>
            <w:tcW w:type="dxa" w:w="2268"/>
          </w:tcPr>
          <w:p>
            <w:r>
              <w:rPr>
                <w:rFonts w:ascii="Times New Roman" w:hAnsi="Times New Roman"/>
                <w:b/>
                <w:sz w:val="20"/>
              </w:rPr>
              <w:t>Status</w:t>
            </w:r>
          </w:p>
        </w:tc>
        <w:tc>
          <w:tcPr>
            <w:tcW w:type="dxa" w:w="2268"/>
          </w:tcPr>
          <w:p>
            <w:r>
              <w:rPr>
                <w:rFonts w:ascii="Times New Roman" w:hAnsi="Times New Roman"/>
                <w:b/>
                <w:sz w:val="20"/>
              </w:rPr>
              <w:t>Risiko</w:t>
            </w:r>
          </w:p>
        </w:tc>
      </w:tr>
      <w:tr>
        <w:tc>
          <w:tcPr>
            <w:tcW w:type="dxa" w:w="2268"/>
          </w:tcPr>
          <w:p>
            <w:r>
              <w:rPr>
                <w:rFonts w:ascii="Times New Roman" w:hAnsi="Times New Roman"/>
                <w:sz w:val="20"/>
              </w:rPr>
              <w:t>BNetzA-Mahnverfahren</w:t>
            </w:r>
          </w:p>
        </w:tc>
        <w:tc>
          <w:tcPr>
            <w:tcW w:type="dxa" w:w="2268"/>
          </w:tcPr>
          <w:p>
            <w:r>
              <w:rPr>
                <w:rFonts w:ascii="Times New Roman" w:hAnsi="Times New Roman"/>
                <w:sz w:val="20"/>
              </w:rPr>
              <w:t>RAin Dr. Groth-Steinberg</w:t>
            </w:r>
          </w:p>
        </w:tc>
        <w:tc>
          <w:tcPr>
            <w:tcW w:type="dxa" w:w="2268"/>
          </w:tcPr>
          <w:p>
            <w:r>
              <w:rPr>
                <w:rFonts w:ascii="Times New Roman" w:hAnsi="Times New Roman"/>
                <w:sz w:val="20"/>
              </w:rPr>
              <w:t>Aktiv</w:t>
            </w:r>
          </w:p>
        </w:tc>
        <w:tc>
          <w:tcPr>
            <w:tcW w:type="dxa" w:w="2268"/>
          </w:tcPr>
          <w:p>
            <w:r>
              <w:rPr>
                <w:rFonts w:ascii="Times New Roman" w:hAnsi="Times New Roman"/>
                <w:sz w:val="20"/>
              </w:rPr>
              <w:t>HOCH</w:t>
            </w:r>
          </w:p>
        </w:tc>
      </w:tr>
      <w:tr>
        <w:tc>
          <w:tcPr>
            <w:tcW w:type="dxa" w:w="2268"/>
          </w:tcPr>
          <w:p>
            <w:r>
              <w:rPr>
                <w:rFonts w:ascii="Times New Roman" w:hAnsi="Times New Roman"/>
                <w:sz w:val="20"/>
              </w:rPr>
              <w:t>Externer Audit</w:t>
            </w:r>
          </w:p>
        </w:tc>
        <w:tc>
          <w:tcPr>
            <w:tcW w:type="dxa" w:w="2268"/>
          </w:tcPr>
          <w:p>
            <w:r>
              <w:rPr>
                <w:rFonts w:ascii="Times New Roman" w:hAnsi="Times New Roman"/>
                <w:sz w:val="20"/>
              </w:rPr>
              <w:t>RA Wendland / PwC</w:t>
            </w:r>
          </w:p>
        </w:tc>
        <w:tc>
          <w:tcPr>
            <w:tcW w:type="dxa" w:w="2268"/>
          </w:tcPr>
          <w:p>
            <w:r>
              <w:rPr>
                <w:rFonts w:ascii="Times New Roman" w:hAnsi="Times New Roman"/>
                <w:sz w:val="20"/>
              </w:rPr>
              <w:t>Beauftragung ausstehend</w:t>
            </w:r>
          </w:p>
        </w:tc>
        <w:tc>
          <w:tcPr>
            <w:tcW w:type="dxa" w:w="2268"/>
          </w:tcPr>
          <w:p>
            <w:r>
              <w:rPr>
                <w:rFonts w:ascii="Times New Roman" w:hAnsi="Times New Roman"/>
                <w:sz w:val="20"/>
              </w:rPr>
              <w:t>MITTEL</w:t>
            </w:r>
          </w:p>
        </w:tc>
      </w:tr>
      <w:tr>
        <w:tc>
          <w:tcPr>
            <w:tcW w:type="dxa" w:w="2268"/>
          </w:tcPr>
          <w:p>
            <w:r>
              <w:rPr>
                <w:rFonts w:ascii="Times New Roman" w:hAnsi="Times New Roman"/>
                <w:sz w:val="20"/>
              </w:rPr>
              <w:t>Forschungszugang</w:t>
            </w:r>
          </w:p>
        </w:tc>
        <w:tc>
          <w:tcPr>
            <w:tcW w:type="dxa" w:w="2268"/>
          </w:tcPr>
          <w:p>
            <w:r>
              <w:rPr>
                <w:rFonts w:ascii="Times New Roman" w:hAnsi="Times New Roman"/>
                <w:sz w:val="20"/>
              </w:rPr>
              <w:t>RAin Dr. Groth-Steinberg</w:t>
            </w:r>
          </w:p>
        </w:tc>
        <w:tc>
          <w:tcPr>
            <w:tcW w:type="dxa" w:w="2268"/>
          </w:tcPr>
          <w:p>
            <w:r>
              <w:rPr>
                <w:rFonts w:ascii="Times New Roman" w:hAnsi="Times New Roman"/>
                <w:sz w:val="20"/>
              </w:rPr>
              <w:t>Verhandlung läuft</w:t>
            </w:r>
          </w:p>
        </w:tc>
        <w:tc>
          <w:tcPr>
            <w:tcW w:type="dxa" w:w="2268"/>
          </w:tcPr>
          <w:p>
            <w:r>
              <w:rPr>
                <w:rFonts w:ascii="Times New Roman" w:hAnsi="Times New Roman"/>
                <w:sz w:val="20"/>
              </w:rPr>
              <w:t>MITTEL</w:t>
            </w:r>
          </w:p>
        </w:tc>
      </w:tr>
      <w:tr>
        <w:tc>
          <w:tcPr>
            <w:tcW w:type="dxa" w:w="2268"/>
          </w:tcPr>
          <w:p>
            <w:r>
              <w:rPr>
                <w:rFonts w:ascii="Times New Roman" w:hAnsi="Times New Roman"/>
                <w:sz w:val="20"/>
              </w:rPr>
              <w:t>Non-Profiling-Implementierung</w:t>
            </w:r>
          </w:p>
        </w:tc>
        <w:tc>
          <w:tcPr>
            <w:tcW w:type="dxa" w:w="2268"/>
          </w:tcPr>
          <w:p>
            <w:r>
              <w:rPr>
                <w:rFonts w:ascii="Times New Roman" w:hAnsi="Times New Roman"/>
                <w:sz w:val="20"/>
              </w:rPr>
              <w:t>RA Wendland / CTO</w:t>
            </w:r>
          </w:p>
        </w:tc>
        <w:tc>
          <w:tcPr>
            <w:tcW w:type="dxa" w:w="2268"/>
          </w:tcPr>
          <w:p>
            <w:r>
              <w:rPr>
                <w:rFonts w:ascii="Times New Roman" w:hAnsi="Times New Roman"/>
                <w:sz w:val="20"/>
              </w:rPr>
              <w:t>Konzept abgeschlossen</w:t>
            </w:r>
          </w:p>
        </w:tc>
        <w:tc>
          <w:tcPr>
            <w:tcW w:type="dxa" w:w="2268"/>
          </w:tcPr>
          <w:p>
            <w:r>
              <w:rPr>
                <w:rFonts w:ascii="Times New Roman" w:hAnsi="Times New Roman"/>
                <w:sz w:val="20"/>
              </w:rPr>
              <w:t>MITTEL</w:t>
            </w:r>
          </w:p>
        </w:tc>
      </w:tr>
      <w:tr>
        <w:tc>
          <w:tcPr>
            <w:tcW w:type="dxa" w:w="2268"/>
          </w:tcPr>
          <w:p>
            <w:r>
              <w:rPr>
                <w:rFonts w:ascii="Times New Roman" w:hAnsi="Times New Roman"/>
                <w:sz w:val="20"/>
              </w:rPr>
              <w:t>Repository-Rückfüllung</w:t>
            </w:r>
          </w:p>
        </w:tc>
        <w:tc>
          <w:tcPr>
            <w:tcW w:type="dxa" w:w="2268"/>
          </w:tcPr>
          <w:p>
            <w:r>
              <w:rPr>
                <w:rFonts w:ascii="Times New Roman" w:hAnsi="Times New Roman"/>
                <w:sz w:val="20"/>
              </w:rPr>
              <w:t>RA Wendland / Adtech</w:t>
            </w:r>
          </w:p>
        </w:tc>
        <w:tc>
          <w:tcPr>
            <w:tcW w:type="dxa" w:w="2268"/>
          </w:tcPr>
          <w:p>
            <w:r>
              <w:rPr>
                <w:rFonts w:ascii="Times New Roman" w:hAnsi="Times New Roman"/>
                <w:sz w:val="20"/>
              </w:rPr>
              <w:t>In Umsetzung</w:t>
            </w:r>
          </w:p>
        </w:tc>
        <w:tc>
          <w:tcPr>
            <w:tcW w:type="dxa" w:w="2268"/>
          </w:tcPr>
          <w:p>
            <w:r>
              <w:rPr>
                <w:rFonts w:ascii="Times New Roman" w:hAnsi="Times New Roman"/>
                <w:sz w:val="20"/>
              </w:rPr>
              <w:t>NIEDRIG-MITTEL</w:t>
            </w:r>
          </w:p>
        </w:tc>
      </w:tr>
      <w:tr>
        <w:tc>
          <w:tcPr>
            <w:tcW w:type="dxa" w:w="2268"/>
          </w:tcPr>
          <w:p>
            <w:r>
              <w:rPr>
                <w:rFonts w:ascii="Times New Roman" w:hAnsi="Times New Roman"/>
                <w:sz w:val="20"/>
              </w:rPr>
              <w:t>Trusted-Flagger-Kooperation</w:t>
            </w:r>
          </w:p>
        </w:tc>
        <w:tc>
          <w:tcPr>
            <w:tcW w:type="dxa" w:w="2268"/>
          </w:tcPr>
          <w:p>
            <w:r>
              <w:rPr>
                <w:rFonts w:ascii="Times New Roman" w:hAnsi="Times New Roman"/>
                <w:sz w:val="20"/>
              </w:rPr>
              <w:t>RAin Dr. Groth-Steinberg</w:t>
            </w:r>
          </w:p>
        </w:tc>
        <w:tc>
          <w:tcPr>
            <w:tcW w:type="dxa" w:w="2268"/>
          </w:tcPr>
          <w:p>
            <w:r>
              <w:rPr>
                <w:rFonts w:ascii="Times New Roman" w:hAnsi="Times New Roman"/>
                <w:sz w:val="20"/>
              </w:rPr>
              <w:t>Vertragsverhandlung</w:t>
            </w:r>
          </w:p>
        </w:tc>
        <w:tc>
          <w:tcPr>
            <w:tcW w:type="dxa" w:w="2268"/>
          </w:tcPr>
          <w:p>
            <w:r>
              <w:rPr>
                <w:rFonts w:ascii="Times New Roman" w:hAnsi="Times New Roman"/>
                <w:sz w:val="20"/>
              </w:rPr>
              <w:t>NIEDRIG</w:t>
            </w:r>
          </w:p>
        </w:tc>
      </w:tr>
      <w:tr>
        <w:tc>
          <w:tcPr>
            <w:tcW w:type="dxa" w:w="2268"/>
          </w:tcPr>
          <w:p>
            <w:r>
              <w:rPr>
                <w:rFonts w:ascii="Times New Roman" w:hAnsi="Times New Roman"/>
                <w:sz w:val="20"/>
              </w:rPr>
              <w:t>EuGH-Klage (Designation)</w:t>
            </w:r>
          </w:p>
        </w:tc>
        <w:tc>
          <w:tcPr>
            <w:tcW w:type="dxa" w:w="2268"/>
          </w:tcPr>
          <w:p>
            <w:r>
              <w:rPr>
                <w:rFonts w:ascii="Times New Roman" w:hAnsi="Times New Roman"/>
                <w:sz w:val="20"/>
              </w:rPr>
              <w:t>RAin Dr. Groth-Steinberg</w:t>
            </w:r>
          </w:p>
        </w:tc>
        <w:tc>
          <w:tcPr>
            <w:tcW w:type="dxa" w:w="2268"/>
          </w:tcPr>
          <w:p>
            <w:r>
              <w:rPr>
                <w:rFonts w:ascii="Times New Roman" w:hAnsi="Times New Roman"/>
                <w:sz w:val="20"/>
              </w:rPr>
              <w:t>Nicht empfohlen</w:t>
            </w:r>
          </w:p>
        </w:tc>
        <w:tc>
          <w:tcPr>
            <w:tcW w:type="dxa" w:w="2268"/>
          </w:tcPr>
          <w:p>
            <w:r>
              <w:rPr>
                <w:rFonts w:ascii="Times New Roman" w:hAnsi="Times New Roman"/>
                <w:sz w:val="20"/>
              </w:rPr>
              <w:t>—</w:t>
            </w:r>
          </w:p>
        </w:tc>
      </w:tr>
    </w:tbl>
    <w:p/>
    <w:p>
      <w:pPr>
        <w:pStyle w:val="Heading2"/>
      </w:pPr>
      <w:r>
        <w:rPr>
          <w:rFonts w:ascii="Times New Roman" w:hAnsi="Times New Roman"/>
        </w:rPr>
        <w:t>4. Taktikübersicht</w:t>
      </w:r>
    </w:p>
    <w:p>
      <w:pPr>
        <w:pStyle w:val="Heading3"/>
      </w:pPr>
      <w:r>
        <w:rPr>
          <w:rFonts w:ascii="Times New Roman" w:hAnsi="Times New Roman"/>
        </w:rPr>
        <w:t>4.1 BNetzA-Mahnverfahren</w:t>
      </w:r>
    </w:p>
    <w:p>
      <w:pPr>
        <w:jc w:val="left"/>
      </w:pPr>
      <w:r>
        <w:rPr>
          <w:b/>
        </w:rPr>
        <w:t>Taktik:</w:t>
      </w:r>
      <w:r>
        <w:t xml:space="preserve"> Kooperativ-konstruktiv. Verstöße anerkennen, detaillierten Maßnahmenplan vorlegen, Bereitschaft zu regelmäßigen Fortschrittsberichten signalisieren. Ziel: Mahnverfahren ohne Bußgeld abzuschließen.</w:t>
      </w:r>
    </w:p>
    <w:p>
      <w:pPr>
        <w:jc w:val="left"/>
      </w:pPr>
      <w:r>
        <w:rPr>
          <w:b/>
        </w:rPr>
        <w:t>Kernbotschaft der Stellungnahme:</w:t>
      </w:r>
    </w:p>
    <w:p>
      <w:pPr>
        <w:ind w:left="567"/>
      </w:pPr>
      <w:r>
        <w:rPr>
          <w:i/>
        </w:rPr>
        <w:t>"Körnerstrom Social GmbH nimmt die Hinweise der Bundesnetzagentur ernst. Die beanstandeten Mängel werden auf Basis eines konkreten Maßnahmenplans bis 14. Juli 2026 vollständig behoben. Wir bitten um Möglichkeit, den Fortschritt im Dialog mit der BNetzA monatlich zu berichten."</w:t>
      </w:r>
    </w:p>
    <w:p>
      <w:pPr>
        <w:pStyle w:val="Heading3"/>
      </w:pPr>
      <w:r>
        <w:rPr>
          <w:rFonts w:ascii="Times New Roman" w:hAnsi="Times New Roman"/>
        </w:rPr>
        <w:t>4.2 Forschungsdatenzugang</w:t>
      </w:r>
    </w:p>
    <w:p>
      <w:pPr>
        <w:jc w:val="left"/>
      </w:pPr>
      <w:r>
        <w:rPr>
          <w:b/>
        </w:rPr>
        <w:t>Taktik:</w:t>
      </w:r>
      <w:r>
        <w:t xml:space="preserve"> Gestufte Annäherung. Nicht mehr auf vollem Ablehnungsstandpunkt beharren; stattdessen Modell sicherer Forschungsumgebung anbieten. Damit wird BNetzA-Kritik entkräftet und ein mögliches Art. 40 DSA-Verfahren abgewendet.</w:t>
      </w:r>
    </w:p>
    <w:p>
      <w:pPr>
        <w:pStyle w:val="Heading3"/>
      </w:pPr>
      <w:r>
        <w:rPr>
          <w:rFonts w:ascii="Times New Roman" w:hAnsi="Times New Roman"/>
        </w:rPr>
        <w:t>4.3 VLOP-Designation (Klage)</w:t>
      </w:r>
    </w:p>
    <w:p>
      <w:pPr>
        <w:jc w:val="left"/>
      </w:pPr>
      <w:r>
        <w:rPr>
          <w:b/>
        </w:rPr>
        <w:t>Taktik:</w:t>
      </w:r>
      <w:r>
        <w:t xml:space="preserve"> Frist verstreichen lassen. Ressourcen für Compliance-Umsetzung priorisieren.</w:t>
      </w:r>
    </w:p>
    <w:p>
      <w:pPr>
        <w:pStyle w:val="Heading3"/>
      </w:pPr>
      <w:r>
        <w:rPr>
          <w:rFonts w:ascii="Times New Roman" w:hAnsi="Times New Roman"/>
        </w:rPr>
        <w:t>4.4 DMA-Gatekeeper</w:t>
      </w:r>
    </w:p>
    <w:p>
      <w:pPr>
        <w:jc w:val="left"/>
      </w:pPr>
      <w:r>
        <w:rPr>
          <w:b/>
        </w:rPr>
        <w:t>Taktik:</w:t>
      </w:r>
      <w:r>
        <w:t xml:space="preserve"> Status quo beibehalten. Monitoring einrichten. Bei Umsatzwachstum frühzeitig DSC konsultieren.</w:t>
      </w:r>
    </w:p>
    <w:p/>
    <w:p>
      <w:pPr>
        <w:pStyle w:val="Heading2"/>
      </w:pPr>
      <w:r>
        <w:rPr>
          <w:rFonts w:ascii="Times New Roman" w:hAnsi="Times New Roman"/>
        </w:rPr>
        <w:t>5. Eskalationsmatrix</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Szenario</w:t>
            </w:r>
          </w:p>
        </w:tc>
        <w:tc>
          <w:tcPr>
            <w:tcW w:type="dxa" w:w="2268"/>
          </w:tcPr>
          <w:p>
            <w:r>
              <w:rPr>
                <w:rFonts w:ascii="Times New Roman" w:hAnsi="Times New Roman"/>
                <w:b/>
                <w:sz w:val="20"/>
              </w:rPr>
              <w:t>Auslöser</w:t>
            </w:r>
          </w:p>
        </w:tc>
        <w:tc>
          <w:tcPr>
            <w:tcW w:type="dxa" w:w="2268"/>
          </w:tcPr>
          <w:p>
            <w:r>
              <w:rPr>
                <w:rFonts w:ascii="Times New Roman" w:hAnsi="Times New Roman"/>
                <w:b/>
                <w:sz w:val="20"/>
              </w:rPr>
              <w:t>Reaktion</w:t>
            </w:r>
          </w:p>
        </w:tc>
        <w:tc>
          <w:tcPr>
            <w:tcW w:type="dxa" w:w="2268"/>
          </w:tcPr>
          <w:p>
            <w:r>
              <w:rPr>
                <w:rFonts w:ascii="Times New Roman" w:hAnsi="Times New Roman"/>
                <w:b/>
                <w:sz w:val="20"/>
              </w:rPr>
              <w:t>Eskalationsstufe</w:t>
            </w:r>
          </w:p>
        </w:tc>
      </w:tr>
      <w:tr>
        <w:tc>
          <w:tcPr>
            <w:tcW w:type="dxa" w:w="2268"/>
          </w:tcPr>
          <w:p>
            <w:r>
              <w:rPr>
                <w:rFonts w:ascii="Times New Roman" w:hAnsi="Times New Roman"/>
                <w:sz w:val="20"/>
              </w:rPr>
              <w:t>BNetzA erlässt Bußgeldbescheid</w:t>
            </w:r>
          </w:p>
        </w:tc>
        <w:tc>
          <w:tcPr>
            <w:tcW w:type="dxa" w:w="2268"/>
          </w:tcPr>
          <w:p>
            <w:r>
              <w:rPr>
                <w:rFonts w:ascii="Times New Roman" w:hAnsi="Times New Roman"/>
                <w:sz w:val="20"/>
              </w:rPr>
              <w:t>Keine Abhilfe bis 30.04.2026</w:t>
            </w:r>
          </w:p>
        </w:tc>
        <w:tc>
          <w:tcPr>
            <w:tcW w:type="dxa" w:w="2268"/>
          </w:tcPr>
          <w:p>
            <w:r>
              <w:rPr>
                <w:rFonts w:ascii="Times New Roman" w:hAnsi="Times New Roman"/>
                <w:sz w:val="20"/>
              </w:rPr>
              <w:t>Sofortige Kanzleikonsultation; Widerspruch vorbereiten</w:t>
            </w:r>
          </w:p>
        </w:tc>
        <w:tc>
          <w:tcPr>
            <w:tcW w:type="dxa" w:w="2268"/>
          </w:tcPr>
          <w:p>
            <w:r>
              <w:rPr>
                <w:rFonts w:ascii="Times New Roman" w:hAnsi="Times New Roman"/>
                <w:sz w:val="20"/>
              </w:rPr>
              <w:t>KRITISCH</w:t>
            </w:r>
          </w:p>
        </w:tc>
      </w:tr>
      <w:tr>
        <w:tc>
          <w:tcPr>
            <w:tcW w:type="dxa" w:w="2268"/>
          </w:tcPr>
          <w:p>
            <w:r>
              <w:rPr>
                <w:rFonts w:ascii="Times New Roman" w:hAnsi="Times New Roman"/>
                <w:sz w:val="20"/>
              </w:rPr>
              <w:t>Kommission eröffnet VLOP-Verfahren (Art. 56 DSA)</w:t>
            </w:r>
          </w:p>
        </w:tc>
        <w:tc>
          <w:tcPr>
            <w:tcW w:type="dxa" w:w="2268"/>
          </w:tcPr>
          <w:p>
            <w:r>
              <w:rPr>
                <w:rFonts w:ascii="Times New Roman" w:hAnsi="Times New Roman"/>
                <w:sz w:val="20"/>
              </w:rPr>
              <w:t>Hartnäckige Verstöße gemeldet</w:t>
            </w:r>
          </w:p>
        </w:tc>
        <w:tc>
          <w:tcPr>
            <w:tcW w:type="dxa" w:w="2268"/>
          </w:tcPr>
          <w:p>
            <w:r>
              <w:rPr>
                <w:rFonts w:ascii="Times New Roman" w:hAnsi="Times New Roman"/>
                <w:sz w:val="20"/>
              </w:rPr>
              <w:t>Brüsseler Kooperationskanzlei aktivieren</w:t>
            </w:r>
          </w:p>
        </w:tc>
        <w:tc>
          <w:tcPr>
            <w:tcW w:type="dxa" w:w="2268"/>
          </w:tcPr>
          <w:p>
            <w:r>
              <w:rPr>
                <w:rFonts w:ascii="Times New Roman" w:hAnsi="Times New Roman"/>
                <w:sz w:val="20"/>
              </w:rPr>
              <w:t>HOCH</w:t>
            </w:r>
          </w:p>
        </w:tc>
      </w:tr>
      <w:tr>
        <w:tc>
          <w:tcPr>
            <w:tcW w:type="dxa" w:w="2268"/>
          </w:tcPr>
          <w:p>
            <w:r>
              <w:rPr>
                <w:rFonts w:ascii="Times New Roman" w:hAnsi="Times New Roman"/>
                <w:sz w:val="20"/>
              </w:rPr>
              <w:t>Medienberichterstattung über Verstöße</w:t>
            </w:r>
          </w:p>
        </w:tc>
        <w:tc>
          <w:tcPr>
            <w:tcW w:type="dxa" w:w="2268"/>
          </w:tcPr>
          <w:p>
            <w:r>
              <w:rPr>
                <w:rFonts w:ascii="Times New Roman" w:hAnsi="Times New Roman"/>
                <w:sz w:val="20"/>
              </w:rPr>
              <w:t>Leak aus BNetzA-Verfahren</w:t>
            </w:r>
          </w:p>
        </w:tc>
        <w:tc>
          <w:tcPr>
            <w:tcW w:type="dxa" w:w="2268"/>
          </w:tcPr>
          <w:p>
            <w:r>
              <w:rPr>
                <w:rFonts w:ascii="Times New Roman" w:hAnsi="Times New Roman"/>
                <w:sz w:val="20"/>
              </w:rPr>
              <w:t>PR-Strategie aktivieren; Statement vorbereiten</w:t>
            </w:r>
          </w:p>
        </w:tc>
        <w:tc>
          <w:tcPr>
            <w:tcW w:type="dxa" w:w="2268"/>
          </w:tcPr>
          <w:p>
            <w:r>
              <w:rPr>
                <w:rFonts w:ascii="Times New Roman" w:hAnsi="Times New Roman"/>
                <w:sz w:val="20"/>
              </w:rPr>
              <w:t>MITTEL</w:t>
            </w:r>
          </w:p>
        </w:tc>
      </w:tr>
      <w:tr>
        <w:tc>
          <w:tcPr>
            <w:tcW w:type="dxa" w:w="2268"/>
          </w:tcPr>
          <w:p>
            <w:r>
              <w:rPr>
                <w:rFonts w:ascii="Times New Roman" w:hAnsi="Times New Roman"/>
                <w:sz w:val="20"/>
              </w:rPr>
              <w:t>Neuer Art. 36 DSA-Krisenbeschluss</w:t>
            </w:r>
          </w:p>
        </w:tc>
        <w:tc>
          <w:tcPr>
            <w:tcW w:type="dxa" w:w="2268"/>
          </w:tcPr>
          <w:p>
            <w:r>
              <w:rPr>
                <w:rFonts w:ascii="Times New Roman" w:hAnsi="Times New Roman"/>
                <w:sz w:val="20"/>
              </w:rPr>
              <w:t>Neue EU-weite Krise</w:t>
            </w:r>
          </w:p>
        </w:tc>
        <w:tc>
          <w:tcPr>
            <w:tcW w:type="dxa" w:w="2268"/>
          </w:tcPr>
          <w:p>
            <w:r>
              <w:rPr>
                <w:rFonts w:ascii="Times New Roman" w:hAnsi="Times New Roman"/>
                <w:sz w:val="20"/>
              </w:rPr>
              <w:t>Crisis Response Team aktivieren, 4h-Protokoll</w:t>
            </w:r>
          </w:p>
        </w:tc>
        <w:tc>
          <w:tcPr>
            <w:tcW w:type="dxa" w:w="2268"/>
          </w:tcPr>
          <w:p>
            <w:r>
              <w:rPr>
                <w:rFonts w:ascii="Times New Roman" w:hAnsi="Times New Roman"/>
                <w:sz w:val="20"/>
              </w:rPr>
              <w:t>HOCH</w:t>
            </w:r>
          </w:p>
        </w:tc>
      </w:tr>
    </w:tbl>
    <w:p/>
    <w:p>
      <w:pPr>
        <w:jc w:val="left"/>
      </w:pPr>
      <w:r>
        <w:rPr>
          <w:i/>
        </w:rPr>
        <w:t>Bearbeiterin: RAin Dr. Philippa Groth-Steinberg</w:t>
      </w:r>
    </w:p>
    <w:p>
      <w:pPr>
        <w:jc w:val="left"/>
      </w:pPr>
      <w:r>
        <w:rPr>
          <w:i/>
        </w:rPr>
        <w:t>Stand: 20. April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