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22 — Abschluss: Handlungsempfehlungen und DSA-Compliance-Fahrplan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Bearbeitung:</w:t>
      </w:r>
      <w:r>
        <w:t xml:space="preserve"> RAin Dr. Philippa Groth-Steinberg, RA Felix Wendland</w:t>
      </w:r>
    </w:p>
    <w:p>
      <w:pPr>
        <w:jc w:val="left"/>
      </w:pPr>
      <w:r>
        <w:rPr>
          <w:b/>
        </w:rPr>
        <w:t>Stand:</w:t>
      </w:r>
      <w:r>
        <w:t xml:space="preserve"> 20. April 2026</w:t>
      </w:r>
    </w:p>
    <w:p/>
    <w:p>
      <w:pPr>
        <w:pStyle w:val="Heading2"/>
      </w:pPr>
      <w:r>
        <w:rPr>
          <w:rFonts w:ascii="Times New Roman" w:hAnsi="Times New Roman"/>
        </w:rPr>
        <w:t>1. Zusammenfassung der Rechtslage</w:t>
      </w:r>
    </w:p>
    <w:p>
      <w:pPr>
        <w:jc w:val="left"/>
      </w:pPr>
      <w:r>
        <w:t>Körnerstrom Social GmbH ist seit dem 14. März 2026 als VLOP designiert und hat bis zum 14. Juli 2026 — also in einem Zeitfenster von vier Monaten — alle Pflichten der Art. 34-43 DSA umzusetzen. Gleichzeitig läuft ein BNetzA-Mahnverfahren wegen vier konkreter Verstöße. Die Rechtslage ist herausfordernd, aber bewältigbar.</w:t>
      </w:r>
    </w:p>
    <w:p>
      <w:pPr>
        <w:jc w:val="left"/>
      </w:pPr>
      <w:r>
        <w:t>Die Gatekeeper-Ablehnung nach DMA ist endgültig und rechtlich unangreifbar positiv für die Mandantin.</w:t>
      </w:r>
    </w:p>
    <w:p/>
    <w:p>
      <w:pPr>
        <w:pStyle w:val="Heading2"/>
      </w:pPr>
      <w:r>
        <w:rPr>
          <w:rFonts w:ascii="Times New Roman" w:hAnsi="Times New Roman"/>
        </w:rPr>
        <w:t>2. Konsolidierte Handlungsempfehlungen</w:t>
      </w:r>
    </w:p>
    <w:p>
      <w:pPr>
        <w:pStyle w:val="Heading3"/>
      </w:pPr>
      <w:r>
        <w:rPr>
          <w:rFonts w:ascii="Times New Roman" w:hAnsi="Times New Roman"/>
        </w:rPr>
        <w:t>Unmittelbar (bis 30. April 2026)</w:t>
      </w:r>
    </w:p>
    <w:p>
      <w:pPr>
        <w:pStyle w:val="ListNumber"/>
      </w:pPr>
      <w:r>
        <w:rPr>
          <w:b/>
        </w:rPr>
        <w:t>Stellungnahme BNetzA einreichen</w:t>
      </w:r>
      <w:r>
        <w:t xml:space="preserve"> (Az. BNetzA-DSC-2026-188): Kooperativ, Maßnahmenplan anliegend, Bereitschaft zu Dialog.</w:t>
      </w:r>
    </w:p>
    <w:p>
      <w:pPr>
        <w:pStyle w:val="ListNumber"/>
      </w:pPr>
      <w:r>
        <w:rPr>
          <w:b/>
        </w:rPr>
        <w:t>Beauftragung PwC Deutschland</w:t>
      </w:r>
      <w:r>
        <w:t xml:space="preserve"> als externen Auditor: Vertragsschluss bis 15. April 2026.</w:t>
      </w:r>
    </w:p>
    <w:p>
      <w:pPr>
        <w:pStyle w:val="ListNumber"/>
      </w:pPr>
      <w:r>
        <w:rPr>
          <w:b/>
        </w:rPr>
        <w:t>Repository-Rückfüllung starten</w:t>
      </w:r>
      <w:r>
        <w:t xml:space="preserve"> für Januar bis September 2025.</w:t>
      </w:r>
    </w:p>
    <w:p>
      <w:pPr>
        <w:pStyle w:val="ListNumber"/>
      </w:pPr>
      <w:r>
        <w:rPr>
          <w:b/>
        </w:rPr>
        <w:t>Kontakt Prof. Dr. Müller-Kaminski</w:t>
      </w:r>
      <w:r>
        <w:t xml:space="preserve"> aufnehmen: Angebot gestufte Datenzugangsvereinbarung.</w:t>
      </w:r>
    </w:p>
    <w:p>
      <w:pPr>
        <w:pStyle w:val="Heading3"/>
      </w:pPr>
      <w:r>
        <w:rPr>
          <w:rFonts w:ascii="Times New Roman" w:hAnsi="Times New Roman"/>
        </w:rPr>
        <w:t>Kurzfristig (bis 15. Juni 2026)</w:t>
      </w:r>
    </w:p>
    <w:p>
      <w:pPr>
        <w:pStyle w:val="ListNumber"/>
      </w:pPr>
      <w:r>
        <w:rPr>
          <w:b/>
        </w:rPr>
        <w:t>Non-Profiling-Option HalmRank</w:t>
      </w:r>
      <w:r>
        <w:t xml:space="preserve"> ("Halmweise Chronologisch") live schalten.</w:t>
      </w:r>
    </w:p>
    <w:p>
      <w:pPr>
        <w:pStyle w:val="ListNumber"/>
      </w:pPr>
      <w:r>
        <w:rPr>
          <w:b/>
        </w:rPr>
        <w:t>Trusted-Flagger-Kooperationsvertrag</w:t>
      </w:r>
      <w:r>
        <w:t xml:space="preserve"> mit Deutsche Hass-Stopp e.V. unterzeichnen.</w:t>
      </w:r>
    </w:p>
    <w:p>
      <w:pPr>
        <w:pStyle w:val="ListNumber"/>
      </w:pPr>
      <w:r>
        <w:rPr>
          <w:b/>
        </w:rPr>
        <w:t>KI-Klassifikation Hassrede</w:t>
      </w:r>
      <w:r>
        <w:t xml:space="preserve"> in Notice-and-Action-Workflow integrieren.</w:t>
      </w:r>
    </w:p>
    <w:p>
      <w:pPr>
        <w:pStyle w:val="ListNumber"/>
      </w:pPr>
      <w:r>
        <w:rPr>
          <w:b/>
        </w:rPr>
        <w:t>Interne Beschwerdestelle</w:t>
      </w:r>
      <w:r>
        <w:t xml:space="preserve"> nach Art. 20 DSA vollständig auf DSA-Standard bringen.</w:t>
      </w:r>
    </w:p>
    <w:p>
      <w:pPr>
        <w:pStyle w:val="ListNumber"/>
      </w:pPr>
      <w:r>
        <w:rPr>
          <w:b/>
        </w:rPr>
        <w:t>Head of DSA Compliance</w:t>
      </w:r>
      <w:r>
        <w:t xml:space="preserve"> einstellen oder bestellen.</w:t>
      </w:r>
    </w:p>
    <w:p>
      <w:pPr>
        <w:pStyle w:val="Heading3"/>
      </w:pPr>
      <w:r>
        <w:rPr>
          <w:rFonts w:ascii="Times New Roman" w:hAnsi="Times New Roman"/>
        </w:rPr>
        <w:t>Mittelfristig (bis 14. Juli 2026)</w:t>
      </w:r>
    </w:p>
    <w:p>
      <w:pPr>
        <w:pStyle w:val="ListNumber"/>
      </w:pPr>
      <w:r>
        <w:rPr>
          <w:b/>
        </w:rPr>
        <w:t>Systemische Risikobewertung</w:t>
      </w:r>
      <w:r>
        <w:t xml:space="preserve"> (Art. 34 DSA) vollständig dokumentieren.</w:t>
      </w:r>
    </w:p>
    <w:p>
      <w:pPr>
        <w:pStyle w:val="ListNumber"/>
      </w:pPr>
      <w:r>
        <w:rPr>
          <w:b/>
        </w:rPr>
        <w:t>Risikominderungsplan</w:t>
      </w:r>
      <w:r>
        <w:t xml:space="preserve"> (Art. 35 DSA) schriftlich fixieren.</w:t>
      </w:r>
    </w:p>
    <w:p>
      <w:pPr>
        <w:pStyle w:val="ListNumber"/>
      </w:pPr>
      <w:r>
        <w:rPr>
          <w:b/>
        </w:rPr>
        <w:t>Krisenreaktionsplan</w:t>
      </w:r>
      <w:r>
        <w:t xml:space="preserve"> (Art. 36 DSA) und Crisis Response Team einrichten.</w:t>
      </w:r>
    </w:p>
    <w:p>
      <w:pPr>
        <w:pStyle w:val="ListNumber"/>
      </w:pPr>
      <w:r>
        <w:rPr>
          <w:b/>
        </w:rPr>
        <w:t>Repository</w:t>
      </w:r>
      <w:r>
        <w:t xml:space="preserve"> vollständig und API-zugänglich für Forscher.</w:t>
      </w:r>
    </w:p>
    <w:p>
      <w:pPr>
        <w:pStyle w:val="ListNumber"/>
      </w:pPr>
      <w:r>
        <w:rPr>
          <w:b/>
        </w:rPr>
        <w:t>Transparenzbericht H1/2026</w:t>
      </w:r>
      <w:r>
        <w:t xml:space="preserve"> vorbereiten (für Einreichung bis 14. August 2026).</w:t>
      </w:r>
    </w:p>
    <w:p>
      <w:pPr>
        <w:pStyle w:val="Heading3"/>
      </w:pPr>
      <w:r>
        <w:rPr>
          <w:rFonts w:ascii="Times New Roman" w:hAnsi="Times New Roman"/>
        </w:rPr>
        <w:t>Langfristig (laufend)</w:t>
      </w:r>
    </w:p>
    <w:p>
      <w:pPr>
        <w:pStyle w:val="ListNumber"/>
      </w:pPr>
      <w:r>
        <w:rPr>
          <w:b/>
        </w:rPr>
        <w:t>Jährlicher externer Audit</w:t>
      </w:r>
      <w:r>
        <w:t xml:space="preserve"> (Art. 37 DSA) in Jahresplanung aufnehmen.</w:t>
      </w:r>
    </w:p>
    <w:p>
      <w:pPr>
        <w:pStyle w:val="ListNumber"/>
      </w:pPr>
      <w:r>
        <w:rPr>
          <w:b/>
        </w:rPr>
        <w:t>Aufsichtsabgabe</w:t>
      </w:r>
      <w:r>
        <w:t xml:space="preserve"> (Art. 43 DSA) in Finanzplanung einkalkulieren (ca. 285.000 EUR p.a.).</w:t>
      </w:r>
    </w:p>
    <w:p>
      <w:pPr>
        <w:pStyle w:val="ListNumber"/>
      </w:pPr>
      <w:r>
        <w:rPr>
          <w:b/>
        </w:rPr>
        <w:t>DMA-Monitoring</w:t>
      </w:r>
      <w:r>
        <w:t xml:space="preserve"> für Schwellenwert-Annäherung.</w:t>
      </w:r>
    </w:p>
    <w:p>
      <w:pPr>
        <w:pStyle w:val="ListNumber"/>
      </w:pPr>
      <w:r>
        <w:rPr>
          <w:b/>
        </w:rPr>
        <w:t>Transparenzbericht jährlich</w:t>
      </w:r>
      <w:r>
        <w:t xml:space="preserve"> (Art. 42 DSA) bis 31. März.</w:t>
      </w:r>
    </w:p>
    <w:p/>
    <w:p>
      <w:pPr>
        <w:pStyle w:val="Heading2"/>
      </w:pPr>
      <w:r>
        <w:rPr>
          <w:rFonts w:ascii="Times New Roman" w:hAnsi="Times New Roman"/>
        </w:rPr>
        <w:t>3. Prognose der Verfahrensentwicklung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BNetzA schließt Mahnverfahren ohne Bußgeld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Wenn Abhilfe bis 30.04.2026 glaubhaft dargestellt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BNetzA erlässt moderates Bußgeld (&lt;5 Mio.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unvollständiger Abhilfe eines Verstoßes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BNetzA eskaliert an Kommission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hartnäckiger Verweigerung; unwahrscheinlich bei Kooperation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Kommission eröffnet eigenes VLOP-Verfahren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bei massivem Versagen</w:t>
            </w:r>
          </w:p>
        </w:tc>
      </w:tr>
    </w:tbl>
    <w:p>
      <w:pPr>
        <w:jc w:val="left"/>
      </w:pPr>
      <w:r>
        <w:rPr>
          <w:b/>
        </w:rPr>
        <w:t>Gesamteinschätzung:</w:t>
      </w:r>
      <w:r>
        <w:t xml:space="preserve"> Bei konsequenter Umsetzung der empfohlenen Maßnahmen ist ein Bußgeldverfahren mit erheblicher Wahrscheinlichkeit abwendbar. Das größte Risiko liegt in Verzögerungen bei der technischen Umsetzung (Non-Profiling-Option, Repository).</w:t>
      </w:r>
    </w:p>
    <w:p/>
    <w:p>
      <w:pPr>
        <w:pStyle w:val="Heading2"/>
      </w:pPr>
      <w:r>
        <w:rPr>
          <w:rFonts w:ascii="Times New Roman" w:hAnsi="Times New Roman"/>
        </w:rPr>
        <w:t>4. DSA-Compliance-Fahrplan (Überblick)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Stellungnahme BNetzA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Dr. Groth-Steinberg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Erstellung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Auftragserteilung PwC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Wendland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Angebot 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Trusted-Flagger-Vertrag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Dr. Groth-Steinberg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Repository Rückfüllung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Wendland / Tech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Gestartet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Non-Profiling-Option live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Schröder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Konzept fertig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Risikobewertung Art. 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Wendland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Erstellung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Externer Audit abgeschlossen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PwC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Zeitplan bestätigt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Transparenzbericht eingereicht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Legal + 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Koordination läuft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Head of DSA Compliance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Erbakan / 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Ausschreibung vorbereiten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Krisenreaktionsplan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Legal + Trust &amp; Safety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Aufsichtsabgabe eingeplant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Haushalt 2026/27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Kontaktdaten für Rückfragen</w:t>
      </w:r>
    </w:p>
    <w:p>
      <w:pPr>
        <w:jc w:val="left"/>
      </w:pPr>
      <w:r>
        <w:rPr>
          <w:b/>
        </w:rPr>
        <w:t>Federführung:</w:t>
      </w:r>
      <w:r>
        <w:t xml:space="preserve"> RAin Dr. Philippa Groth-Steinberg, Klotzkette Rechtsanwaltsgesellschaft mbH</w:t>
      </w:r>
    </w:p>
    <w:p>
      <w:pPr>
        <w:jc w:val="left"/>
      </w:pPr>
      <w:r>
        <w:t>Telefon: +49 30 1234-5678 | E-Mail: p.groth-steinberg@klotzkette.de</w:t>
      </w:r>
    </w:p>
    <w:p>
      <w:pPr>
        <w:jc w:val="left"/>
      </w:pPr>
      <w:r>
        <w:rPr>
          <w:b/>
        </w:rPr>
        <w:t>Co-Counsel DSA/Technikrecht:</w:t>
      </w:r>
      <w:r>
        <w:t xml:space="preserve"> RA Felix Wendland</w:t>
      </w:r>
    </w:p>
    <w:p>
      <w:pPr>
        <w:jc w:val="left"/>
      </w:pPr>
      <w:r>
        <w:t>Telefon: +49 30 1234-5679 | E-Mail: f.wendland@klotzkette.de</w:t>
      </w:r>
    </w:p>
    <w:p>
      <w:pPr>
        <w:jc w:val="left"/>
      </w:pPr>
      <w:r>
        <w:rPr>
          <w:b/>
        </w:rPr>
        <w:t>Kooperationskanzlei Brüssel:</w:t>
      </w:r>
      <w:r>
        <w:t xml:space="preserve"> Leclercq &amp; Moreau SCRL</w:t>
      </w:r>
    </w:p>
    <w:p>
      <w:pPr>
        <w:jc w:val="left"/>
      </w:pPr>
      <w:r>
        <w:t>Avenue Louise 287, 1050 Brüssel | E-Mail: contact@leclercqmoreau.eu</w:t>
      </w:r>
    </w:p>
    <w:p/>
    <w:p>
      <w:pPr>
        <w:pStyle w:val="Heading2"/>
      </w:pPr>
      <w:r>
        <w:rPr>
          <w:rFonts w:ascii="Times New Roman" w:hAnsi="Times New Roman"/>
        </w:rPr>
        <w:t>6. Rechtsgrundlagen (Gesamtübersicht)</w:t>
      </w:r>
    </w:p>
    <w:p>
      <w:pPr>
        <w:pStyle w:val="ListBullet"/>
      </w:pPr>
      <w:r>
        <w:t>Verordnung (EU) 2022/2065 (DSA), Art. 11-47 — VLOP-Pflichten</w:t>
      </w:r>
    </w:p>
    <w:p>
      <w:pPr>
        <w:pStyle w:val="ListBullet"/>
      </w:pPr>
      <w:r>
        <w:t>Verordnung (EU) 2022/1925 (DMA), Art. 3 — Gatekeeper</w:t>
      </w:r>
    </w:p>
    <w:p>
      <w:pPr>
        <w:pStyle w:val="ListBullet"/>
      </w:pPr>
      <w:r>
        <w:t>Verordnung (EU) 2016/679 (DSGVO), Art. 4, 21, 35, 37, 89</w:t>
      </w:r>
    </w:p>
    <w:p>
      <w:pPr>
        <w:pStyle w:val="ListBullet"/>
      </w:pPr>
      <w:r>
        <w:t>Delegierte Verordnung (EU) 2023/1932 — Berechnung aktiver Nutzer</w:t>
      </w:r>
    </w:p>
    <w:p>
      <w:pPr>
        <w:pStyle w:val="ListBullet"/>
      </w:pPr>
      <w:r>
        <w:t>Delegierte Verordnung (EU) 2023/2411 — Aufsichtsabgabe</w:t>
      </w:r>
    </w:p>
    <w:p>
      <w:pPr>
        <w:pStyle w:val="ListBullet"/>
      </w:pPr>
      <w:r>
        <w:t>Digitale-Dienste-Gesetz (DDG) 2024</w:t>
      </w:r>
    </w:p>
    <w:p>
      <w:pPr>
        <w:pStyle w:val="ListBullet"/>
      </w:pPr>
      <w:r>
        <w:t>Art. 263, 267 AEUV — Rechtsschutz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2022/2065 (DSA), EUR-Lex: https://eur-lex.europa.eu/legal-content/DE/TXT/?uri=CELEX%3A32022R2065</w:t>
      </w:r>
    </w:p>
    <w:p>
      <w:pPr>
        <w:pStyle w:val="ListBullet"/>
      </w:pPr>
      <w:r>
        <w:t>Verordnung (EU) 2022/1925 (DMA), EUR-Lex: https://eur-lex.europa.eu/legal-content/DE/TXT/?uri=CELEX%3A32022R1925</w:t>
      </w:r>
    </w:p>
    <w:p>
      <w:pPr>
        <w:pStyle w:val="ListBullet"/>
      </w:pPr>
      <w:r>
        <w:t>Digitale-Dienste-Gesetz (DDG), dejure.org: https://dejure.org/gesetze/DDG</w:t>
      </w:r>
    </w:p>
    <w:p/>
    <w:p>
      <w:pPr>
        <w:jc w:val="left"/>
      </w:pPr>
      <w:r>
        <w:rPr>
          <w:i/>
        </w:rPr>
        <w:t>Bearbeitung: RAin Dr. Philippa Groth-Steinberg, RA Felix Wendland</w:t>
      </w:r>
    </w:p>
    <w:p>
      <w:pPr>
        <w:jc w:val="left"/>
      </w:pPr>
      <w:r>
        <w:rPr>
          <w:i/>
        </w:rPr>
        <w:t>Stand: 20.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