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02 — Sachverhaltserfassung und Erstberatung</w:t>
      </w:r>
    </w:p>
    <w:p>
      <w:pPr>
        <w:jc w:val="left"/>
      </w:pPr>
      <w:r>
        <w:rPr>
          <w:b/>
        </w:rPr>
        <w:t>Aktenzeichen:</w:t>
      </w:r>
      <w:r>
        <w:t xml:space="preserve"> DSB-NW-44/26</w:t>
      </w:r>
    </w:p>
    <w:p>
      <w:pPr>
        <w:jc w:val="left"/>
      </w:pPr>
      <w:r>
        <w:rPr>
          <w:b/>
        </w:rPr>
        <w:t>Datum:</w:t>
      </w:r>
      <w:r>
        <w:t xml:space="preserve"> 14.–15. Januar 2026</w:t>
      </w:r>
    </w:p>
    <w:p>
      <w:pPr>
        <w:jc w:val="left"/>
      </w:pPr>
      <w:r>
        <w:rPr>
          <w:b/>
        </w:rPr>
        <w:t>Bearbeiter:</w:t>
      </w:r>
      <w:r>
        <w:t xml:space="preserve"> RA Dr. Cornelius Specht, RAin Miriam Beckenbauer</w:t>
      </w:r>
    </w:p>
    <w:p/>
    <w:p>
      <w:pPr>
        <w:pStyle w:val="Heading2"/>
      </w:pPr>
      <w:r>
        <w:rPr>
          <w:rFonts w:ascii="Times New Roman" w:hAnsi="Times New Roman"/>
        </w:rPr>
        <w:t>1. Hintergrund der Mandantin</w:t>
      </w:r>
    </w:p>
    <w:p>
      <w:pPr>
        <w:pStyle w:val="Heading3"/>
      </w:pPr>
      <w:r>
        <w:rPr>
          <w:rFonts w:ascii="Times New Roman" w:hAnsi="Times New Roman"/>
        </w:rPr>
        <w:t>1.1 Unternehmensdarstellung</w:t>
      </w:r>
    </w:p>
    <w:p>
      <w:pPr>
        <w:jc w:val="left"/>
      </w:pPr>
      <w:r>
        <w:t>Die VermieterCheck Solutions GmbH (nachfolgend „VCS") wurde 2019 in Essen gegründet und betreibt eine B2B-SaaS-Plattform, über die Privatvermieter Bonitätsauskünfte über Mietinteressenten einholen können. Zum Stichdatum 14.01.2026 sind 12.400 Privatvermieter angeschlossen. Die Daten der Mietinteressenten werden durch das proprietäre KI-Profiling-Modul „ProspectScore Pro" verarbeitet.</w:t>
      </w:r>
    </w:p>
    <w:p>
      <w:pPr>
        <w:jc w:val="left"/>
      </w:pPr>
      <w:r>
        <w:rPr>
          <w:b/>
        </w:rPr>
        <w:t>Verarbeitete Datenkategorien (lt. Erstauskunft GF):</w:t>
      </w:r>
    </w:p>
    <w:p>
      <w:pPr>
        <w:pStyle w:val="ListBullet"/>
      </w:pPr>
      <w:r>
        <w:t>Bonitätsauskunft (Schufa-Score, Negativmerkmale)</w:t>
      </w:r>
    </w:p>
    <w:p>
      <w:pPr>
        <w:pStyle w:val="ListBullet"/>
      </w:pPr>
      <w:r>
        <w:t>Voreigentum / frühere Mietverhältnisse</w:t>
      </w:r>
    </w:p>
    <w:p>
      <w:pPr>
        <w:pStyle w:val="ListBullet"/>
      </w:pPr>
      <w:r>
        <w:t>Beruf und Einkommenssituation</w:t>
      </w:r>
    </w:p>
    <w:p>
      <w:pPr>
        <w:pStyle w:val="ListBullet"/>
      </w:pPr>
      <w:r>
        <w:t>Familienstatus und Haushaltsgroesse</w:t>
      </w:r>
    </w:p>
    <w:p>
      <w:pPr>
        <w:pStyle w:val="ListBullet"/>
      </w:pPr>
      <w:r>
        <w:t>Automatisch ermittelter Risiko-Score (0–100) durch ProspectScore Pro</w:t>
      </w:r>
    </w:p>
    <w:p>
      <w:pPr>
        <w:pStyle w:val="Heading3"/>
      </w:pPr>
      <w:r>
        <w:rPr>
          <w:rFonts w:ascii="Times New Roman" w:hAnsi="Times New Roman"/>
        </w:rPr>
        <w:t>1.2 Technische Systemarchitektur</w:t>
      </w:r>
    </w:p>
    <w:p>
      <w:pPr>
        <w:jc w:val="left"/>
      </w:pPr>
      <w:r>
        <w:t>Das Modul ProspectScore Pro ist als Microservice in einer AWS-Infrastruktur (Frankfurt, eu-central-1) betrieben. Die Entwicklung und der Second-Level-Support erfolgen durch den indischen Dienstleister Sundara Tech Pvt. Ltd. (Bengaluru, Karnataka). Nach Aussage des DevOps-Leiters (Herr Tarkan Bilgic) besteht seit Oktober 2022 ein Datenaustausch mit Sundara Tech ohne abgeschlossene Standarddatenschutzklauseln (SCC) gemäß Art. 46 Abs. 2 lit. c DSGVO.</w:t>
      </w:r>
    </w:p>
    <w:p>
      <w:pPr>
        <w:pStyle w:val="Heading3"/>
      </w:pPr>
      <w:r>
        <w:rPr>
          <w:rFonts w:ascii="Times New Roman" w:hAnsi="Times New Roman"/>
        </w:rPr>
        <w:t>1.3 Betriebsdauer und Verarbeitungsumfang</w:t>
      </w:r>
    </w:p>
    <w:p>
      <w:pPr>
        <w:jc w:val="left"/>
      </w:pPr>
      <w:r>
        <w:t>ProspectScore Pro wurde laut Mandantin im März 2023 in den Produktivbetrieb übernommen. Bis Januar 2026 wurden die personenbezogenen Daten von ca. 142.300 Mietinteressenten verarbeitet. Davon haben schriftlich Einwilligung erteilt: nach Angaben der Mandantin ca. 88.000 Personen; bei den verbleibenden ca. 54.300 Personen fehlen nachweisbare Einwilligungserklärungen.</w:t>
      </w:r>
    </w:p>
    <w:p/>
    <w:p>
      <w:pPr>
        <w:pStyle w:val="Heading2"/>
      </w:pPr>
      <w:r>
        <w:rPr>
          <w:rFonts w:ascii="Times New Roman" w:hAnsi="Times New Roman"/>
        </w:rPr>
        <w:t>2. Chronologie der Ereignisse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Ereignis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Mrz 2023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Produktivbetrieb ProspectScore Pro startet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Okt 2022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Beginn Datentransfer an Sundara Tech Pvt. Ltd. ohne SCC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08. Nov 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Anonyme HinSchG-Meldung bei interner Meldestelle (unbearbeitet)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17. Nov 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Penetrationstest-Bericht SecureProof GmbH: SQL-Injection CVE-2026-0188 identifiziert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22. Nov 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Erstbestaetigter Datenleak: 142.300 Datensätze exfiltriert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29. Nov 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72h-Frist gemäß Art. 33 DSGVO läuft ab — keine Meldung bei LDI NRW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03. Dez 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LDI NRW erhält anonymen Hinweis; leitet Vorprüfung ein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12. Dez 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LDI NRW eröffnet formales Aufsichtsverfahren, AZ DSB-NW-44/26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15. Dez 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Sammelklage VDuG eingereicht: LG Essen 18 Mass 4/26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22. Dez 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Einzelklage Tannenbruck: LG Essen 4 O 244/26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07. Jan 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StA Essen eröffnet Ermittlungen § 42 BDSG: 12 Js 11.422/26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14. Jan 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Mandatsuebernahme durch SBD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3. Erstberatungsgespräche (Protokoll)</w:t>
      </w:r>
    </w:p>
    <w:p>
      <w:pPr>
        <w:pStyle w:val="Heading3"/>
      </w:pPr>
      <w:r>
        <w:rPr>
          <w:rFonts w:ascii="Times New Roman" w:hAnsi="Times New Roman"/>
        </w:rPr>
        <w:t>3.1 Gespräch mit GF Schimmelpfennig-Drosthager (14.01.2026, 14:00–17:30 Uhr)</w:t>
      </w:r>
    </w:p>
    <w:p>
      <w:pPr>
        <w:jc w:val="left"/>
      </w:pPr>
      <w:r>
        <w:rPr>
          <w:b/>
        </w:rPr>
        <w:t>Themen:</w:t>
      </w:r>
    </w:p>
    <w:p>
      <w:pPr>
        <w:pStyle w:val="ListNumber"/>
      </w:pPr>
      <w:r>
        <w:t>Aufklärung über Zeugnisverweigerungsrecht § 52 StPO im Strafverfahren</w:t>
      </w:r>
    </w:p>
    <w:p>
      <w:pPr>
        <w:pStyle w:val="ListNumber"/>
      </w:pPr>
      <w:r>
        <w:t>Belehrung über Schweigerecht § 136 StPO als Beschuldigter</w:t>
      </w:r>
    </w:p>
    <w:p>
      <w:pPr>
        <w:pStyle w:val="ListNumber"/>
      </w:pPr>
      <w:r>
        <w:t>Erläuterung der zivilrechtlichen Haftungsrisiken Art. 82 DSGVO</w:t>
      </w:r>
    </w:p>
    <w:p>
      <w:pPr>
        <w:pStyle w:val="ListNumber"/>
      </w:pPr>
      <w:r>
        <w:t>Besprechung des Sachverhalts zur privaten Nutzung der Plattform (Wohnungen Essen-Bredeney)</w:t>
      </w:r>
    </w:p>
    <w:p>
      <w:pPr>
        <w:jc w:val="left"/>
      </w:pPr>
      <w:r>
        <w:rPr>
          <w:b/>
        </w:rPr>
        <w:t>Ergebnis:</w:t>
      </w:r>
      <w:r>
        <w:t xml:space="preserve"> GF Schimmelpfennig-Drosthager bestreitet vorsätzliches Handeln, raumt aber ein, die Plattform zur eigenen Mieterauswahl genutzt zu haben. Die strafrechtliche Beurteilung wird gesondert geprüft (s. Akte 15).</w:t>
      </w:r>
    </w:p>
    <w:p>
      <w:pPr>
        <w:pStyle w:val="Heading3"/>
      </w:pPr>
      <w:r>
        <w:rPr>
          <w:rFonts w:ascii="Times New Roman" w:hAnsi="Times New Roman"/>
        </w:rPr>
        <w:t>3.2 Gespräch mit Datenschutzbeauftragter Frau Hannelore Kessler-Brandt (15.01.2026, 09:00–11:00 Uhr)</w:t>
      </w:r>
    </w:p>
    <w:p>
      <w:pPr>
        <w:jc w:val="left"/>
      </w:pPr>
      <w:r>
        <w:rPr>
          <w:b/>
        </w:rPr>
        <w:t>Themen:</w:t>
      </w:r>
    </w:p>
    <w:p>
      <w:pPr>
        <w:pStyle w:val="ListNumber"/>
      </w:pPr>
      <w:r>
        <w:t>Stand der internen DSFA-Dokumentation (Art. 35 DSGVO) — Ergebnis: keine DSFA durchgeführt</w:t>
      </w:r>
    </w:p>
    <w:p>
      <w:pPr>
        <w:pStyle w:val="ListNumber"/>
      </w:pPr>
      <w:r>
        <w:t>Verarbeitungsverzeichnis (Art. 30 DSGVO) — Ergebnis: vorhanden, jedoch nicht aktuell</w:t>
      </w:r>
    </w:p>
    <w:p>
      <w:pPr>
        <w:pStyle w:val="ListNumber"/>
      </w:pPr>
      <w:r>
        <w:t>Einwilligungsmanagement — Ergebnis: keine dokumentierten Einwilligungserklärungen für ca. 54.300 Betroffene</w:t>
      </w:r>
    </w:p>
    <w:p>
      <w:pPr>
        <w:pStyle w:val="ListNumber"/>
      </w:pPr>
      <w:r>
        <w:t>Meldepflicht Art. 33 DSGVO — Ergebnis: Versäumnis bestätigt, keine interne Eskalation erfolgt</w:t>
      </w:r>
    </w:p>
    <w:p>
      <w:pPr>
        <w:pStyle w:val="Heading3"/>
      </w:pPr>
      <w:r>
        <w:rPr>
          <w:rFonts w:ascii="Times New Roman" w:hAnsi="Times New Roman"/>
        </w:rPr>
        <w:t>3.3 Gespräch mit DevOps-Leiter Herr Tarkan Bilgic (15.01.2026, 11:30–13:00 Uhr)</w:t>
      </w:r>
    </w:p>
    <w:p>
      <w:pPr>
        <w:jc w:val="left"/>
      </w:pPr>
      <w:r>
        <w:rPr>
          <w:b/>
        </w:rPr>
        <w:t>Themen:</w:t>
      </w:r>
    </w:p>
    <w:p>
      <w:pPr>
        <w:pStyle w:val="ListNumber"/>
      </w:pPr>
      <w:r>
        <w:t>Architektur des Datentransfers zu Sundara Tech</w:t>
      </w:r>
    </w:p>
    <w:p>
      <w:pPr>
        <w:pStyle w:val="ListNumber"/>
      </w:pPr>
      <w:r>
        <w:t>API-Authentifizierungsverfahren</w:t>
      </w:r>
    </w:p>
    <w:p>
      <w:pPr>
        <w:pStyle w:val="ListNumber"/>
      </w:pPr>
      <w:r>
        <w:t>CVE-2026-0188 — SQL-Injection in der Suchanfrage-Schnittstelle des Scoring-Backends</w:t>
      </w:r>
    </w:p>
    <w:p>
      <w:pPr>
        <w:jc w:val="left"/>
      </w:pPr>
      <w:r>
        <w:rPr>
          <w:b/>
        </w:rPr>
        <w:t>Ergebnis:</w:t>
      </w:r>
      <w:r>
        <w:t xml:space="preserve"> Seit Oktober 2022 werden Rohdaten der Mietinteressenten für Modelltraining und Support-Zwecke an Sundara Tech übertragen. Ein AVV-Vertrag existiert seit Dezember 2023 (also nachträglich), SCC wurde jedoch nie unterzeichnet.</w:t>
      </w:r>
    </w:p>
    <w:p/>
    <w:p>
      <w:pPr>
        <w:pStyle w:val="Heading2"/>
      </w:pPr>
      <w:r>
        <w:rPr>
          <w:rFonts w:ascii="Times New Roman" w:hAnsi="Times New Roman"/>
        </w:rPr>
        <w:t>4. Einschätzung des Gesamtrisikos</w:t>
      </w:r>
    </w:p>
    <w:p>
      <w:pPr>
        <w:pStyle w:val="Heading3"/>
      </w:pPr>
      <w:r>
        <w:rPr>
          <w:rFonts w:ascii="Times New Roman" w:hAnsi="Times New Roman"/>
        </w:rPr>
        <w:t>4.1 Risikomatrix (Ersteinschätzung)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Risiko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Eintrittswahrscheinlichkeit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Finanzielles Exposure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Priorität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LDI-Bussgeld Art. 83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Hoch (75%)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bis 20.000.000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KRITISCH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VDuG-Sammelklage Art. 82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Mittel-Hoch (60%)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bis 12.300.000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KRITISCH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Strafverfahren § 42 BDSG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 (45%)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Freiheitsstrafe GF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Einzelklage Tannenbruck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 (55%)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bis 1.500 EUR + Kosten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Drittlandhaftung Art. 44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Hoch (70%)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Bussgeld (kumulativ)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Reputationsschaden NDR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Sehr hoch (90%)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Umsatzrückgang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4.2 Strategische Empfehlung</w:t>
      </w:r>
    </w:p>
    <w:p>
      <w:pPr>
        <w:jc w:val="left"/>
      </w:pPr>
      <w:r>
        <w:t>Die Kanzlei SBD empfiehlt eine Dreisäulenstrategie:</w:t>
      </w:r>
    </w:p>
    <w:p>
      <w:pPr>
        <w:jc w:val="left"/>
      </w:pPr>
      <w:r>
        <w:rPr>
          <w:b/>
        </w:rPr>
        <w:t>Säule 1 — Compliance-Offensive:</w:t>
      </w:r>
      <w:r>
        <w:t xml:space="preserve"> Sofortige Nachholung der DSFA, Sanierung des AVV mit Sundara Tech, Nachmeldung der Datenpanne an LDI NRW mit Schadensbegrenzungs-Narrative.</w:t>
      </w:r>
    </w:p>
    <w:p>
      <w:pPr>
        <w:jc w:val="left"/>
      </w:pPr>
      <w:r>
        <w:rPr>
          <w:b/>
        </w:rPr>
        <w:t>Säule 2 — Verfahrensverteidigung:</w:t>
      </w:r>
      <w:r>
        <w:t xml:space="preserve"> Aktive Vertretung in allen Verfahren mit dem Ziel der Strafminderung (Art. 83 Abs. 2 DSGVO-Milderungsgründe) und Abweisung der Sammelklage mangels individueller Kausalität.</w:t>
      </w:r>
    </w:p>
    <w:p>
      <w:pPr>
        <w:jc w:val="left"/>
      </w:pPr>
      <w:r>
        <w:rPr>
          <w:b/>
        </w:rPr>
        <w:t>Säule 3 — Kommunikationsmanagement:</w:t>
      </w:r>
      <w:r>
        <w:t xml:space="preserve"> Koordination mit PR-Beratung zur Steuerung der Berichterstattung NDR Panorama; kein öffentliches Eingeständnis ohne anwaltliche Freigabe.</w:t>
      </w:r>
    </w:p>
    <w:p/>
    <w:p>
      <w:pPr>
        <w:pStyle w:val="Heading2"/>
      </w:pPr>
      <w:r>
        <w:rPr>
          <w:rFonts w:ascii="Times New Roman" w:hAnsi="Times New Roman"/>
        </w:rPr>
        <w:t>5. Nächste Schritte</w:t>
      </w:r>
    </w:p>
    <w:p>
      <w:pPr>
        <w:pStyle w:val="ListNumber"/>
      </w:pPr>
      <w:r>
        <w:t>DSFA-Kickoff-Workshop mit Datenschutzbeauftragter Kessler-Brandt: 20.01.2026</w:t>
      </w:r>
    </w:p>
    <w:p>
      <w:pPr>
        <w:pStyle w:val="ListNumber"/>
      </w:pPr>
      <w:r>
        <w:t>Beauftragung eines unabhängigen Datenschutz-Gutachters für Art. 22 DSGVO: bis 22.01.2026</w:t>
      </w:r>
    </w:p>
    <w:p>
      <w:pPr>
        <w:pStyle w:val="ListNumber"/>
      </w:pPr>
      <w:r>
        <w:t>Anwaltsschreiben an LDI NRW zur Fristverlängerung: 17.01.2026</w:t>
      </w:r>
    </w:p>
    <w:p>
      <w:pPr>
        <w:pStyle w:val="ListNumber"/>
      </w:pPr>
      <w:r>
        <w:t>Koordination mit Strafverteidiger Dr. Robert Ankermann (StA-Verfahren): 16.01.2026</w:t>
      </w:r>
    </w:p>
    <w:p>
      <w:pPr>
        <w:pStyle w:val="ListNumber"/>
      </w:pPr>
      <w:r>
        <w:t>Pruefung Insolvenzrisiko bei Maximalhaftung: Gespräch Steuerberater Münster &amp; Partner</w:t>
      </w:r>
    </w:p>
    <w:p/>
    <w:p>
      <w:pPr>
        <w:pStyle w:val="Heading2"/>
      </w:pPr>
      <w:r>
        <w:rPr>
          <w:rFonts w:ascii="Times New Roman" w:hAnsi="Times New Roman"/>
        </w:rPr>
        <w:t>Quellen</w:t>
      </w:r>
    </w:p>
    <w:p>
      <w:pPr>
        <w:pStyle w:val="ListBullet"/>
      </w:pPr>
      <w:r>
        <w:t>DSGVO Art. 6, 22, 30, 33, 35, 44, 46, 82, 83 — dejure.org/gesetze/DSGVO</w:t>
      </w:r>
    </w:p>
    <w:p>
      <w:pPr>
        <w:pStyle w:val="ListBullet"/>
      </w:pPr>
      <w:r>
        <w:t>BDSG § 42 — dejure.org/gesetze/BDSG</w:t>
      </w:r>
    </w:p>
    <w:p>
      <w:pPr>
        <w:pStyle w:val="ListBullet"/>
      </w:pPr>
      <w:r>
        <w:t>HinSchG — dejure.org/gesetze/HinSchG</w:t>
      </w:r>
    </w:p>
    <w:p>
      <w:pPr>
        <w:pStyle w:val="ListBullet"/>
      </w:pPr>
      <w:r>
        <w:t>StPO §§ 52, 136 — dejure.org/gesetze/StPO</w:t>
      </w:r>
    </w:p>
    <w:p>
      <w:pPr>
        <w:pStyle w:val="ListBullet"/>
      </w:pPr>
      <w:r>
        <w:t>BGH VI ZR 10/24 (DSGVO-Schadensersatz) — bundesgerichtshof.de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