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Art. 22 DSGVO: Automatisierte Einzelentscheidung durch ProspectScore Pro</w:t>
      </w:r>
    </w:p>
    <w:p>
      <w:pPr>
        <w:jc w:val="left"/>
      </w:pPr>
      <w:r>
        <w:rPr>
          <w:b/>
        </w:rPr>
        <w:t>Aktenzeichen:</w:t>
      </w:r>
      <w:r>
        <w:t xml:space="preserve"> DSB-NW-44/26</w:t>
      </w:r>
    </w:p>
    <w:p>
      <w:pPr>
        <w:jc w:val="left"/>
      </w:pPr>
      <w:r>
        <w:rPr>
          <w:b/>
        </w:rPr>
        <w:t>Bearbeiter:</w:t>
      </w:r>
      <w:r>
        <w:t xml:space="preserve"> RA Dr. Cornelius Specht, RA Lars Drosselberg</w:t>
      </w:r>
    </w:p>
    <w:p>
      <w:pPr>
        <w:jc w:val="left"/>
      </w:pPr>
      <w:r>
        <w:rPr>
          <w:b/>
        </w:rPr>
        <w:t>Datum:</w:t>
      </w:r>
      <w:r>
        <w:t xml:space="preserve"> 17. Januar 2026</w:t>
      </w:r>
    </w:p>
    <w:p>
      <w:pPr>
        <w:jc w:val="left"/>
      </w:pPr>
      <w:r>
        <w:rPr>
          <w:b/>
        </w:rPr>
        <w:t>Betreff:</w:t>
      </w:r>
      <w:r>
        <w:t xml:space="preserve"> Rechtmaessigkeit automatisierter Einzelentscheidungen und Profiling</w:t>
      </w:r>
    </w:p>
    <w:p/>
    <w:p>
      <w:pPr>
        <w:pStyle w:val="Heading2"/>
      </w:pPr>
      <w:r>
        <w:rPr>
          <w:rFonts w:ascii="Times New Roman" w:hAnsi="Times New Roman"/>
        </w:rPr>
        <w:t>1. Regelungsinhalt Art. 22 DSGVO</w:t>
      </w:r>
    </w:p>
    <w:p>
      <w:pPr>
        <w:jc w:val="left"/>
      </w:pPr>
      <w:r>
        <w:t>Art. 22 Abs. 1 DSGVO gewährt betroffenen Personen das Recht, nicht einer ausschliesslich auf einer automatisierten Verarbeitung — einschliesslich Profiling — beruhenden Entscheidung unterworfen zu werden, die ihr gegenüber rechtliche Wirkung entfaltet oder sie in ähnlicher Weise erheblich beeinträchtigt.</w:t>
      </w:r>
    </w:p>
    <w:p>
      <w:pPr>
        <w:jc w:val="left"/>
      </w:pPr>
      <w:r>
        <w:t>Art. 22 Abs. 2 DSGVO regelt Ausnahmen: Die automatisierte Entscheidung ist zulässig, wenn sie (a) für den Abschluss oder die Erfüllung eines Vertrags zwischen der betroffenen Person und dem Verantwortlichen erforderlich ist, (b) aufgrund von Rechtsvorschriften der Union oder der Mitgliedstaaten zulässig ist oder (c) mit ausdrücklicher Einwilligung der betroffenen Person erfolgt.</w:t>
      </w:r>
    </w:p>
    <w:p>
      <w:pPr>
        <w:jc w:val="left"/>
      </w:pPr>
      <w:r>
        <w:t>Bei besonderen Kategorien personenbezogener Daten (Art. 9 DSGVO) ist Art. 22 Abs. 4 DSGVO zu beachten.</w:t>
      </w:r>
    </w:p>
    <w:p/>
    <w:p>
      <w:pPr>
        <w:pStyle w:val="Heading2"/>
      </w:pPr>
      <w:r>
        <w:rPr>
          <w:rFonts w:ascii="Times New Roman" w:hAnsi="Times New Roman"/>
        </w:rPr>
        <w:t>2. Pruefung: Liegt eine automatisierte Einzelentscheidung vor?</w:t>
      </w:r>
    </w:p>
    <w:p>
      <w:pPr>
        <w:pStyle w:val="Heading3"/>
      </w:pPr>
      <w:r>
        <w:rPr>
          <w:rFonts w:ascii="Times New Roman" w:hAnsi="Times New Roman"/>
        </w:rPr>
        <w:t>2.1 Tatbestandsmerkmal „ausschliesslich automatisiert"</w:t>
      </w:r>
    </w:p>
    <w:p>
      <w:pPr>
        <w:jc w:val="left"/>
      </w:pPr>
      <w:r>
        <w:t>Der EDSA hat in seinen Leitlinien 01/2022 zu automatisierten Einzelentscheidungen (Art. 22 DSGVO) klargestellt, dass eine Entscheidung dann als „ausschliesslich automatisiert" gilt, wenn kein menschlicher Eingriff mit substanziellem Einfluss auf das Ergebnis stattfindet. Ein bloss formales Review (Mensch bestätigt maschinell vorgeschlagenes Ergebnis ohne eigene Pruefung) genügt nicht.</w:t>
      </w:r>
    </w:p>
    <w:p>
      <w:pPr>
        <w:jc w:val="left"/>
      </w:pPr>
      <w:r>
        <w:rPr>
          <w:b/>
        </w:rPr>
        <w:t>Sachverhalt VCS:</w:t>
      </w:r>
    </w:p>
    <w:p>
      <w:pPr>
        <w:pStyle w:val="ListBullet"/>
      </w:pPr>
      <w:r>
        <w:t>ProspectScore Pro generiert einen Risiko-Score (0–100)</w:t>
      </w:r>
    </w:p>
    <w:p>
      <w:pPr>
        <w:pStyle w:val="ListBullet"/>
      </w:pPr>
      <w:r>
        <w:t>Privatvermieter erhalten den Score und eine abgeleitete Empfehlung (GRÜN / GELB / ROT)</w:t>
      </w:r>
    </w:p>
    <w:p>
      <w:pPr>
        <w:pStyle w:val="ListBullet"/>
      </w:pPr>
      <w:r>
        <w:t>Laut Aussage von 127 Vermietern (Kläger im VDuG-Verfahren) haben diese ausschliesslich auf Basis der Ampelfarbe entschieden</w:t>
      </w:r>
    </w:p>
    <w:p>
      <w:pPr>
        <w:pStyle w:val="ListBullet"/>
      </w:pPr>
      <w:r>
        <w:t>Interne Nutzungsstatistiken belegen: 94% aller Mietabsagen korrelieren mit ROT-Einstufung</w:t>
      </w:r>
    </w:p>
    <w:p>
      <w:pPr>
        <w:pStyle w:val="ListBullet"/>
      </w:pPr>
      <w:r>
        <w:t>Kein Prozess zur menschlichen Überprüfung des Scores implementiert</w:t>
      </w:r>
    </w:p>
    <w:p>
      <w:pPr>
        <w:jc w:val="left"/>
      </w:pPr>
      <w:r>
        <w:rPr>
          <w:b/>
        </w:rPr>
        <w:t>Ergebnis:</w:t>
      </w:r>
      <w:r>
        <w:t xml:space="preserve"> Die Entscheidung über die Vermietung basiert faktisch ausschliesslich auf dem automatisierten Score. Das Tatbestandsmerkmal ist erfullt.</w:t>
      </w:r>
    </w:p>
    <w:p>
      <w:pPr>
        <w:pStyle w:val="Heading3"/>
      </w:pPr>
      <w:r>
        <w:rPr>
          <w:rFonts w:ascii="Times New Roman" w:hAnsi="Times New Roman"/>
        </w:rPr>
        <w:t>2.2 Tatbestandsmerkmal „erhebliche Beeinträchtigung"</w:t>
      </w:r>
    </w:p>
    <w:p>
      <w:pPr>
        <w:jc w:val="left"/>
      </w:pPr>
      <w:r>
        <w:t>Die Verweigerung einer Wohnungsanmietung aufgrund des ROT-Scores stellt eine erhebliche Beeinträchtigung im Sinne des Art. 22 Abs. 1 DSGVO dar. Der Europäische Datenschutzausschuss (EDSA, Leitlinien 01/2022, Rn. 15) nennt als Beispiel ausdrücklich den Ausschluss vom Zugang zu Wohnraum.</w:t>
      </w:r>
    </w:p>
    <w:p>
      <w:pPr>
        <w:jc w:val="left"/>
      </w:pPr>
      <w:r>
        <w:rPr>
          <w:b/>
        </w:rPr>
        <w:t>Ergebnis:</w:t>
      </w:r>
      <w:r>
        <w:t xml:space="preserve"> Erhebliche Beeinträchtigung liegt vor.</w:t>
      </w:r>
    </w:p>
    <w:p>
      <w:pPr>
        <w:pStyle w:val="Heading3"/>
      </w:pPr>
      <w:r>
        <w:rPr>
          <w:rFonts w:ascii="Times New Roman" w:hAnsi="Times New Roman"/>
        </w:rPr>
        <w:t>2.3 Zwischenergebnis</w:t>
      </w:r>
    </w:p>
    <w:p>
      <w:pPr>
        <w:jc w:val="left"/>
      </w:pPr>
      <w:r>
        <w:t>Der Tatbestand des Art. 22 Abs. 1 DSGVO ist erfullt. Die Verarbeitung ist grundsätzlich verboten, soweit keine Ausnahme nach Art. 22 Abs. 2 DSGVO greift.</w:t>
      </w:r>
    </w:p>
    <w:p/>
    <w:p>
      <w:pPr>
        <w:pStyle w:val="Heading2"/>
      </w:pPr>
      <w:r>
        <w:rPr>
          <w:rFonts w:ascii="Times New Roman" w:hAnsi="Times New Roman"/>
        </w:rPr>
        <w:t>3. Pruefung der Ausnahmetatbestände Art. 22 Abs. 2 DSGVO</w:t>
      </w:r>
    </w:p>
    <w:p>
      <w:pPr>
        <w:pStyle w:val="Heading3"/>
      </w:pPr>
      <w:r>
        <w:rPr>
          <w:rFonts w:ascii="Times New Roman" w:hAnsi="Times New Roman"/>
        </w:rPr>
        <w:t>3.1 Art. 22 Abs. 2 lit. a — Vertragserfüllung</w:t>
      </w:r>
    </w:p>
    <w:p>
      <w:pPr>
        <w:jc w:val="left"/>
      </w:pPr>
      <w:r>
        <w:t xml:space="preserve">Wie bereits in Akte 03 (Art. 6 lit. b) festgestellt: Zwischen VCS und den Mietinteressenten besteht kein Vertrag. </w:t>
      </w:r>
      <w:r>
        <w:rPr>
          <w:b/>
        </w:rPr>
        <w:t>Ergebnis: Nicht einschlägig.</w:t>
      </w:r>
    </w:p>
    <w:p>
      <w:pPr>
        <w:pStyle w:val="Heading3"/>
      </w:pPr>
      <w:r>
        <w:rPr>
          <w:rFonts w:ascii="Times New Roman" w:hAnsi="Times New Roman"/>
        </w:rPr>
        <w:t>3.2 Art. 22 Abs. 2 lit. b — Gesetzliche Grundlage</w:t>
      </w:r>
    </w:p>
    <w:p>
      <w:pPr>
        <w:jc w:val="left"/>
      </w:pPr>
      <w:r>
        <w:t xml:space="preserve">Eine spezialgesetzliche Grundlage, die automatisiertes Profiling für Mietbonitätszwecke erlaubt, existiert im deutschen Recht nicht. § 34 BDSG betrifft Auskunftspflichten, nicht Erlaubnisse für automatisiertes Scoring. </w:t>
      </w:r>
      <w:r>
        <w:rPr>
          <w:b/>
        </w:rPr>
        <w:t>Ergebnis: Nicht einschlägig.</w:t>
      </w:r>
    </w:p>
    <w:p>
      <w:pPr>
        <w:pStyle w:val="Heading3"/>
      </w:pPr>
      <w:r>
        <w:rPr>
          <w:rFonts w:ascii="Times New Roman" w:hAnsi="Times New Roman"/>
        </w:rPr>
        <w:t>3.3 Art. 22 Abs. 2 lit. c — Einwilligung</w:t>
      </w:r>
    </w:p>
    <w:p>
      <w:pPr>
        <w:jc w:val="left"/>
      </w:pPr>
      <w:r>
        <w:t xml:space="preserve">Wie in Akte 03 (3.1) festgestellt: Die erteilten Einwilligungen sind wegen Koppelung und mangelnder Informiertheit unwirksam. Zudem war die ausdrückliche Einwilligung in automatisierte Einzelentscheidungen (Art. 22 Abs. 2 lit. c DSGVO i.V.m. ErwGr. 71) gesondert erforderlich — dies erfolgte nicht. </w:t>
      </w:r>
      <w:r>
        <w:rPr>
          <w:b/>
        </w:rPr>
        <w:t>Ergebnis: Nicht einschlägig.</w:t>
      </w:r>
    </w:p>
    <w:p/>
    <w:p>
      <w:pPr>
        <w:pStyle w:val="Heading2"/>
      </w:pPr>
      <w:r>
        <w:rPr>
          <w:rFonts w:ascii="Times New Roman" w:hAnsi="Times New Roman"/>
        </w:rPr>
        <w:t>4. Schutzpflichten bei zulässiger automatisierter Entscheidung (Art. 22 Abs. 3 DSGVO)</w:t>
      </w:r>
    </w:p>
    <w:p>
      <w:pPr>
        <w:jc w:val="left"/>
      </w:pPr>
      <w:r>
        <w:t>Auch wenn — hypothetisch — eine Ausnahme greifen würde, hätte VCS folgende Garantien gemäß Art. 22 Abs. 3 DSGVO implementieren müssen: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Garantie</w:t>
            </w:r>
          </w:p>
        </w:tc>
        <w:tc>
          <w:tcPr>
            <w:tcW w:type="dxa" w:w="4536"/>
          </w:tcPr>
          <w:p>
            <w:r>
              <w:rPr>
                <w:rFonts w:ascii="Times New Roman" w:hAnsi="Times New Roman"/>
                <w:b/>
                <w:sz w:val="20"/>
              </w:rPr>
              <w:t>Status bei VCS</w:t>
            </w:r>
          </w:p>
        </w:tc>
      </w:tr>
      <w:tr>
        <w:tc>
          <w:tcPr>
            <w:tcW w:type="dxa" w:w="4536"/>
          </w:tcPr>
          <w:p>
            <w:r>
              <w:rPr>
                <w:rFonts w:ascii="Times New Roman" w:hAnsi="Times New Roman"/>
                <w:sz w:val="20"/>
              </w:rPr>
              <w:t>Recht auf menschliche Überprüfung</w:t>
            </w:r>
          </w:p>
        </w:tc>
        <w:tc>
          <w:tcPr>
            <w:tcW w:type="dxa" w:w="4536"/>
          </w:tcPr>
          <w:p>
            <w:r>
              <w:rPr>
                <w:rFonts w:ascii="Times New Roman" w:hAnsi="Times New Roman"/>
                <w:sz w:val="20"/>
              </w:rPr>
              <w:t>Nicht implementiert</w:t>
            </w:r>
          </w:p>
        </w:tc>
      </w:tr>
      <w:tr>
        <w:tc>
          <w:tcPr>
            <w:tcW w:type="dxa" w:w="4536"/>
          </w:tcPr>
          <w:p>
            <w:r>
              <w:rPr>
                <w:rFonts w:ascii="Times New Roman" w:hAnsi="Times New Roman"/>
                <w:sz w:val="20"/>
              </w:rPr>
              <w:t>Recht auf Darlegung des eigenen Standpunkts</w:t>
            </w:r>
          </w:p>
        </w:tc>
        <w:tc>
          <w:tcPr>
            <w:tcW w:type="dxa" w:w="4536"/>
          </w:tcPr>
          <w:p>
            <w:r>
              <w:rPr>
                <w:rFonts w:ascii="Times New Roman" w:hAnsi="Times New Roman"/>
                <w:sz w:val="20"/>
              </w:rPr>
              <w:t>Kein Beschwerdemechanismus vorhanden</w:t>
            </w:r>
          </w:p>
        </w:tc>
      </w:tr>
      <w:tr>
        <w:tc>
          <w:tcPr>
            <w:tcW w:type="dxa" w:w="4536"/>
          </w:tcPr>
          <w:p>
            <w:r>
              <w:rPr>
                <w:rFonts w:ascii="Times New Roman" w:hAnsi="Times New Roman"/>
                <w:sz w:val="20"/>
              </w:rPr>
              <w:t>Recht auf Anfechtung der Entscheidung</w:t>
            </w:r>
          </w:p>
        </w:tc>
        <w:tc>
          <w:tcPr>
            <w:tcW w:type="dxa" w:w="4536"/>
          </w:tcPr>
          <w:p>
            <w:r>
              <w:rPr>
                <w:rFonts w:ascii="Times New Roman" w:hAnsi="Times New Roman"/>
                <w:sz w:val="20"/>
              </w:rPr>
              <w:t>Keine Einspruchsmöglichkeit</w:t>
            </w:r>
          </w:p>
        </w:tc>
      </w:tr>
      <w:tr>
        <w:tc>
          <w:tcPr>
            <w:tcW w:type="dxa" w:w="4536"/>
          </w:tcPr>
          <w:p>
            <w:r>
              <w:rPr>
                <w:rFonts w:ascii="Times New Roman" w:hAnsi="Times New Roman"/>
                <w:sz w:val="20"/>
              </w:rPr>
              <w:t>Transparente Information (Art. 13 Abs. 2 lit. f DSGVO)</w:t>
            </w:r>
          </w:p>
        </w:tc>
        <w:tc>
          <w:tcPr>
            <w:tcW w:type="dxa" w:w="4536"/>
          </w:tcPr>
          <w:p>
            <w:r>
              <w:rPr>
                <w:rFonts w:ascii="Times New Roman" w:hAnsi="Times New Roman"/>
                <w:sz w:val="20"/>
              </w:rPr>
              <w:t>Profiling in Datenschutzerklärung nicht explizit</w:t>
            </w:r>
          </w:p>
        </w:tc>
      </w:tr>
    </w:tbl>
    <w:p/>
    <w:p>
      <w:pPr>
        <w:pStyle w:val="Heading2"/>
      </w:pPr>
      <w:r>
        <w:rPr>
          <w:rFonts w:ascii="Times New Roman" w:hAnsi="Times New Roman"/>
        </w:rPr>
        <w:t>5. Profiling und besondere Datenkategorien</w:t>
      </w:r>
    </w:p>
    <w:p>
      <w:pPr>
        <w:pStyle w:val="Heading3"/>
      </w:pPr>
      <w:r>
        <w:rPr>
          <w:rFonts w:ascii="Times New Roman" w:hAnsi="Times New Roman"/>
        </w:rPr>
        <w:t>5.1 Familienstatus als Diskriminierungsmerkmal</w:t>
      </w:r>
    </w:p>
    <w:p>
      <w:pPr>
        <w:jc w:val="left"/>
      </w:pPr>
      <w:r>
        <w:t>Der Familienstatus (mit/ohne Kinder) zählt nicht zu den besonderen Kategorien nach Art. 9 DSGVO. Jedoch kann das Profiling auf Basis des Familienstatus eine mittelbare Diskriminierung nach dem Allgemeinen Gleichbehandlungsgesetz (AGG) § 19 Abs. 1 Nr. 1 darstellen: Familien mit Kindern können systematisch schlechter bewertet werden.</w:t>
      </w:r>
    </w:p>
    <w:p>
      <w:pPr>
        <w:pStyle w:val="Heading3"/>
      </w:pPr>
      <w:r>
        <w:rPr>
          <w:rFonts w:ascii="Times New Roman" w:hAnsi="Times New Roman"/>
        </w:rPr>
        <w:t>5.2 Gesundheitliche Indikatoren im Score</w:t>
      </w:r>
    </w:p>
    <w:p>
      <w:pPr>
        <w:jc w:val="left"/>
      </w:pPr>
      <w:r>
        <w:t>Laut Penetrationstest-Bericht (s. Akte 07) verarbeitete ProspectScore Pro in einer früheren Modellversion (v2.1 bis v2.4) Daten aus Krankenversicherungsstatusdaten, die im Rahmen der Schufa-Abfrage mitgeliefert wurden. Soweit Gesundheitsdaten (Art. 9 Abs. 1 DSGVO) in den Score eingeflossen sind, gilt Art. 22 Abs. 4 DSGVO: Die ausdrückliche Einwilligung gemäß Art. 9 Abs. 2 lit. a DSGVO oder ein Rechtfertigungsgrund nach Art. 9 Abs. 2 DSGVO wäre zusätzlich erforderlich. Beides lag nicht vor.</w:t>
      </w:r>
    </w:p>
    <w:p/>
    <w:p>
      <w:pPr>
        <w:pStyle w:val="Heading2"/>
      </w:pPr>
      <w:r>
        <w:rPr>
          <w:rFonts w:ascii="Times New Roman" w:hAnsi="Times New Roman"/>
        </w:rPr>
        <w:t>6. Haftungsfolgen</w:t>
      </w:r>
    </w:p>
    <w:p>
      <w:pPr>
        <w:pStyle w:val="Heading3"/>
      </w:pPr>
      <w:r>
        <w:rPr>
          <w:rFonts w:ascii="Times New Roman" w:hAnsi="Times New Roman"/>
        </w:rPr>
        <w:t>6.1 Ordnungswidrigkeitenrecht</w:t>
      </w:r>
    </w:p>
    <w:p>
      <w:pPr>
        <w:jc w:val="left"/>
      </w:pPr>
      <w:r>
        <w:t>Ein Verstoss gegen Art. 22 DSGVO ist gemäß Art. 83 Abs. 4 DSGVO mit einem Bussgeld bis 10.000.000 EUR oder 2% des weltweiten Jahresumsatzes bedroht. In Kombination mit dem Verstoss gegen Art. 6 DSGVO (Art. 83 Abs. 5 lit. a, bis 20 Mio. EUR) können gemäß Art. 83 Abs. 3 DSGVO Geldbussen kumuliert werden, wobei der Höchstbetrag nicht überschritten werden darf.</w:t>
      </w:r>
    </w:p>
    <w:p>
      <w:pPr>
        <w:jc w:val="left"/>
      </w:pPr>
      <w:r>
        <w:rPr>
          <w:b/>
        </w:rPr>
        <w:t>Anwendbarer Höchstbetrag:</w:t>
      </w:r>
      <w:r>
        <w:t xml:space="preserve"> 20.000.000 EUR (Art. 83 Abs. 5 DSGVO: höhere Sanktion).</w:t>
      </w:r>
    </w:p>
    <w:p>
      <w:pPr>
        <w:pStyle w:val="Heading3"/>
      </w:pPr>
      <w:r>
        <w:rPr>
          <w:rFonts w:ascii="Times New Roman" w:hAnsi="Times New Roman"/>
        </w:rPr>
        <w:t>6.2 Zivilrechtliche Haftung</w:t>
      </w:r>
    </w:p>
    <w:p>
      <w:pPr>
        <w:jc w:val="left"/>
      </w:pPr>
      <w:r>
        <w:t>Betroffene, die nachweislich aufgrund eines fehlerhaften ROT-Scores eine Wohnung nicht erhalten haben, können gemäß Art. 82 DSGVO Schadensersatz verlangen. Der immaterielle Schaden liegt nach BGH VI ZR 10/24 bereits im Kontrollverlust über eigene Daten (s. Akte 11).</w:t>
      </w:r>
    </w:p>
    <w:p/>
    <w:p>
      <w:pPr>
        <w:pStyle w:val="Heading2"/>
      </w:pPr>
      <w:r>
        <w:rPr>
          <w:rFonts w:ascii="Times New Roman" w:hAnsi="Times New Roman"/>
        </w:rPr>
        <w:t>7. Handlungsempfehlungen</w:t>
      </w:r>
    </w:p>
    <w:p>
      <w:pPr>
        <w:pStyle w:val="ListNumber"/>
      </w:pPr>
      <w:r>
        <w:rPr>
          <w:b/>
        </w:rPr>
        <w:t>Sofortige Abschaltung</w:t>
      </w:r>
      <w:r>
        <w:t xml:space="preserve"> des ProspectScore-Pro-Moduls bis zur Erlangung konformer Rechtsgrundlagen</w:t>
      </w:r>
    </w:p>
    <w:p>
      <w:pPr>
        <w:pStyle w:val="ListNumber"/>
      </w:pPr>
      <w:r>
        <w:rPr>
          <w:b/>
        </w:rPr>
        <w:t>Implementierung Human-in-the-Loop</w:t>
      </w:r>
      <w:r>
        <w:t xml:space="preserve"> (HITL) — obligatorische menschliche Überprüfung vor jeder Entscheidungsweitergabe an Vermieter</w:t>
      </w:r>
    </w:p>
    <w:p>
      <w:pPr>
        <w:pStyle w:val="ListNumber"/>
      </w:pPr>
      <w:r>
        <w:rPr>
          <w:b/>
        </w:rPr>
        <w:t>Aktualisierung der Datenschutzerklärung</w:t>
      </w:r>
      <w:r>
        <w:t xml:space="preserve"> mit expliziter Information über Profiling (Art. 13 Abs. 2 lit. f, Art. 14 Abs. 2 lit. g DSGVO)</w:t>
      </w:r>
    </w:p>
    <w:p>
      <w:pPr>
        <w:pStyle w:val="ListNumber"/>
      </w:pPr>
      <w:r>
        <w:rPr>
          <w:b/>
        </w:rPr>
        <w:t>Einspruchsmechanismus</w:t>
      </w:r>
      <w:r>
        <w:t xml:space="preserve"> für betroffene Mietinteressenten (Art. 22 Abs. 3 DSGVO)</w:t>
      </w:r>
    </w:p>
    <w:p>
      <w:pPr>
        <w:pStyle w:val="ListNumber"/>
      </w:pPr>
      <w:r>
        <w:rPr>
          <w:b/>
        </w:rPr>
        <w:t>DSFA</w:t>
      </w:r>
      <w:r>
        <w:t xml:space="preserve"> für das KI-Profiling-Modul (Art. 35 DSGVO, s. Akte 05)</w:t>
      </w:r>
    </w:p>
    <w:p/>
    <w:p>
      <w:pPr>
        <w:pStyle w:val="Heading2"/>
      </w:pPr>
      <w:r>
        <w:rPr>
          <w:rFonts w:ascii="Times New Roman" w:hAnsi="Times New Roman"/>
        </w:rPr>
        <w:t>Quellen</w:t>
      </w:r>
    </w:p>
    <w:p>
      <w:pPr>
        <w:pStyle w:val="ListBullet"/>
      </w:pPr>
      <w:r>
        <w:t>DSGVO Art. 9, 13, 14, 22 — dejure.org/gesetze/DSGVO</w:t>
      </w:r>
    </w:p>
    <w:p>
      <w:pPr>
        <w:pStyle w:val="ListBullet"/>
      </w:pPr>
      <w:r>
        <w:t>EDSA-Leitlinien 01/2022 zu automatisierten Einzelentscheidungen — edpb.europa.eu</w:t>
      </w:r>
    </w:p>
    <w:p>
      <w:pPr>
        <w:pStyle w:val="ListBullet"/>
      </w:pPr>
      <w:r>
        <w:t>BDSG § 34 — dejure.org/gesetze/BDSG</w:t>
      </w:r>
    </w:p>
    <w:p>
      <w:pPr>
        <w:pStyle w:val="ListBullet"/>
      </w:pPr>
      <w:r>
        <w:t>AGG § 19 — dejure.org/gesetze/AGG</w:t>
      </w:r>
    </w:p>
    <w:p>
      <w:pPr>
        <w:pStyle w:val="ListBullet"/>
      </w:pPr>
      <w:r>
        <w:t>BGH VI ZR 10/24 — bundesgerichtshof.de</w:t>
      </w:r>
    </w:p>
    <w:p>
      <w:pPr>
        <w:pStyle w:val="ListBullet"/>
      </w:pPr>
      <w:r>
        <w:t>OLG Koeln, Urt. v. 14.07.2022 — 20 U 168/21 —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