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Datenschutz-Folgenabschaetzung (DSFA) nach Art. 35 DSGVO</w:t>
      </w:r>
    </w:p>
    <w:p>
      <w:pPr>
        <w:jc w:val="left"/>
      </w:pPr>
      <w:r>
        <w:rPr>
          <w:b/>
        </w:rPr>
        <w:t>Aktenzeichen:</w:t>
      </w:r>
      <w:r>
        <w:t xml:space="preserve"> DSB-NW-44/26</w:t>
      </w:r>
    </w:p>
    <w:p>
      <w:pPr>
        <w:jc w:val="left"/>
      </w:pPr>
      <w:r>
        <w:rPr>
          <w:b/>
        </w:rPr>
        <w:t>Bearbeiter:</w:t>
      </w:r>
      <w:r>
        <w:t xml:space="preserve"> RAin Miriam Beckenbauer, RA Dr. Cornelius Specht</w:t>
      </w:r>
    </w:p>
    <w:p>
      <w:pPr>
        <w:jc w:val="left"/>
      </w:pPr>
      <w:r>
        <w:rPr>
          <w:b/>
        </w:rPr>
        <w:t>Datum:</w:t>
      </w:r>
      <w:r>
        <w:t xml:space="preserve"> 20. Januar 2026</w:t>
      </w:r>
    </w:p>
    <w:p>
      <w:pPr>
        <w:jc w:val="left"/>
      </w:pPr>
      <w:r>
        <w:rPr>
          <w:b/>
        </w:rPr>
        <w:t>Betreff:</w:t>
      </w:r>
      <w:r>
        <w:t xml:space="preserve"> DSFA-Versäumnis für ProspectScore Pro und Nachholungsplan</w:t>
      </w:r>
    </w:p>
    <w:p/>
    <w:p>
      <w:pPr>
        <w:pStyle w:val="Heading2"/>
      </w:pPr>
      <w:r>
        <w:rPr>
          <w:rFonts w:ascii="Times New Roman" w:hAnsi="Times New Roman"/>
        </w:rPr>
        <w:t>1. Rechtliche Grundlage und Pflicht zur DSFA</w:t>
      </w:r>
    </w:p>
    <w:p>
      <w:pPr>
        <w:jc w:val="left"/>
      </w:pPr>
      <w:r>
        <w:t>Art. 35 Abs. 1 DSGVO verpflichtet den Verantwortlichen, vor der Verarbeitung eine Abschätzung der Folgen der vorgesehenen Verarbeitungsvorgänge für den Schutz personenbezogener Daten durchzuführen, wenn eine Verarbeitung voraussichtlich ein hohes Risiko für die Rechte und Freiheiten natürlicher Personen zur Folge hat.</w:t>
      </w:r>
    </w:p>
    <w:p>
      <w:pPr>
        <w:pStyle w:val="Heading3"/>
      </w:pPr>
      <w:r>
        <w:rPr>
          <w:rFonts w:ascii="Times New Roman" w:hAnsi="Times New Roman"/>
        </w:rPr>
        <w:t>1.1 Regelbeispiele nach Art. 35 Abs. 3 DSGVO</w:t>
      </w:r>
    </w:p>
    <w:p>
      <w:pPr>
        <w:jc w:val="left"/>
      </w:pPr>
      <w:r>
        <w:t>Art. 35 Abs. 3 DSGVO nennt als typische Hochrisikoverarbeitungen:</w:t>
      </w:r>
    </w:p>
    <w:p>
      <w:pPr>
        <w:pStyle w:val="ListBullet"/>
      </w:pPr>
      <w:r>
        <w:rPr>
          <w:b/>
        </w:rPr>
        <w:t>lit. a:</w:t>
      </w:r>
      <w:r>
        <w:t xml:space="preserve"> Systematische und umfassende Bewertung persönlicher Aspekte natürlicher Personen durch automatisierte Verarbeitung einschliesslich Profiling (explizit: Bonitätsermittlung)</w:t>
      </w:r>
    </w:p>
    <w:p>
      <w:pPr>
        <w:pStyle w:val="ListBullet"/>
      </w:pPr>
      <w:r>
        <w:rPr>
          <w:b/>
        </w:rPr>
        <w:t>lit. c:</w:t>
      </w:r>
      <w:r>
        <w:t xml:space="preserve"> Systematische Überwachung öffentlich zugänglicher Bereiche (hier nicht einschlägig)</w:t>
      </w:r>
    </w:p>
    <w:p>
      <w:pPr>
        <w:jc w:val="left"/>
      </w:pPr>
      <w:r>
        <w:rPr>
          <w:b/>
        </w:rPr>
        <w:t>Ergebnis:</w:t>
      </w:r>
      <w:r>
        <w:t xml:space="preserve"> ProspectScore Pro fällt unmittelbar unter Art. 35 Abs. 3 lit. a DSGVO. Die DSFA-Pflicht war von Beginn an gegeben.</w:t>
      </w:r>
    </w:p>
    <w:p>
      <w:pPr>
        <w:pStyle w:val="Heading3"/>
      </w:pPr>
      <w:r>
        <w:rPr>
          <w:rFonts w:ascii="Times New Roman" w:hAnsi="Times New Roman"/>
        </w:rPr>
        <w:t>1.2 Negativlisten und Positivlisten der LDI NRW</w:t>
      </w:r>
    </w:p>
    <w:p>
      <w:pPr>
        <w:jc w:val="left"/>
      </w:pPr>
      <w:r>
        <w:t>Gemäß Art. 35 Abs. 4 und Abs. 5 DSGVO haben Aufsichtsbehörden Listen der Verarbeitungen zu erstellen, die einer DSFA bedürftig sind (Muss-Listen) bzw. nicht bedürftig sind (Ausnahmelisten). Die LDI NRW hat in ihrer aktuellen Muss-Liste (Stand Oktober 2025) ausdrücklich „KI-gestützte Scoring-Verfahren zur Mietinteressenten-Beurteilung" aufgeführt.</w:t>
      </w:r>
    </w:p>
    <w:p/>
    <w:p>
      <w:pPr>
        <w:pStyle w:val="Heading2"/>
      </w:pPr>
      <w:r>
        <w:rPr>
          <w:rFonts w:ascii="Times New Roman" w:hAnsi="Times New Roman"/>
        </w:rPr>
        <w:t>2. DSFA-Checkliste: Ist eine DSFA erforderlich?</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Kriterium (DSK-Standard 2017)</w:t>
            </w:r>
          </w:p>
        </w:tc>
        <w:tc>
          <w:tcPr>
            <w:tcW w:type="dxa" w:w="3024"/>
          </w:tcPr>
          <w:p>
            <w:r>
              <w:rPr>
                <w:rFonts w:ascii="Times New Roman" w:hAnsi="Times New Roman"/>
                <w:b/>
                <w:sz w:val="20"/>
              </w:rPr>
              <w:t>Befund bei VCS</w:t>
            </w:r>
          </w:p>
        </w:tc>
        <w:tc>
          <w:tcPr>
            <w:tcW w:type="dxa" w:w="3024"/>
          </w:tcPr>
          <w:p>
            <w:r>
              <w:rPr>
                <w:rFonts w:ascii="Times New Roman" w:hAnsi="Times New Roman"/>
                <w:b/>
                <w:sz w:val="20"/>
              </w:rPr>
              <w:t>Punkte</w:t>
            </w:r>
          </w:p>
        </w:tc>
      </w:tr>
      <w:tr>
        <w:tc>
          <w:tcPr>
            <w:tcW w:type="dxa" w:w="3024"/>
          </w:tcPr>
          <w:p>
            <w:r>
              <w:rPr>
                <w:rFonts w:ascii="Times New Roman" w:hAnsi="Times New Roman"/>
                <w:sz w:val="20"/>
              </w:rPr>
              <w:t>Bewertung oder Einstufung</w:t>
            </w:r>
          </w:p>
        </w:tc>
        <w:tc>
          <w:tcPr>
            <w:tcW w:type="dxa" w:w="3024"/>
          </w:tcPr>
          <w:p>
            <w:r>
              <w:rPr>
                <w:rFonts w:ascii="Times New Roman" w:hAnsi="Times New Roman"/>
                <w:sz w:val="20"/>
              </w:rPr>
              <w:t>Ja (Score 0–100, Ampel)</w:t>
            </w:r>
          </w:p>
        </w:tc>
        <w:tc>
          <w:tcPr>
            <w:tcW w:type="dxa" w:w="3024"/>
          </w:tcPr>
          <w:p>
            <w:r>
              <w:rPr>
                <w:rFonts w:ascii="Times New Roman" w:hAnsi="Times New Roman"/>
                <w:sz w:val="20"/>
              </w:rPr>
              <w:t>1</w:t>
            </w:r>
          </w:p>
        </w:tc>
      </w:tr>
      <w:tr>
        <w:tc>
          <w:tcPr>
            <w:tcW w:type="dxa" w:w="3024"/>
          </w:tcPr>
          <w:p>
            <w:r>
              <w:rPr>
                <w:rFonts w:ascii="Times New Roman" w:hAnsi="Times New Roman"/>
                <w:sz w:val="20"/>
              </w:rPr>
              <w:t>Automatisierte Entscheidung mit Rechtswirkung</w:t>
            </w:r>
          </w:p>
        </w:tc>
        <w:tc>
          <w:tcPr>
            <w:tcW w:type="dxa" w:w="3024"/>
          </w:tcPr>
          <w:p>
            <w:r>
              <w:rPr>
                <w:rFonts w:ascii="Times New Roman" w:hAnsi="Times New Roman"/>
                <w:sz w:val="20"/>
              </w:rPr>
              <w:t>Ja (Mietabsagen)</w:t>
            </w:r>
          </w:p>
        </w:tc>
        <w:tc>
          <w:tcPr>
            <w:tcW w:type="dxa" w:w="3024"/>
          </w:tcPr>
          <w:p>
            <w:r>
              <w:rPr>
                <w:rFonts w:ascii="Times New Roman" w:hAnsi="Times New Roman"/>
                <w:sz w:val="20"/>
              </w:rPr>
              <w:t>1</w:t>
            </w:r>
          </w:p>
        </w:tc>
      </w:tr>
      <w:tr>
        <w:tc>
          <w:tcPr>
            <w:tcW w:type="dxa" w:w="3024"/>
          </w:tcPr>
          <w:p>
            <w:r>
              <w:rPr>
                <w:rFonts w:ascii="Times New Roman" w:hAnsi="Times New Roman"/>
                <w:sz w:val="20"/>
              </w:rPr>
              <w:t>Systematische Überwachung</w:t>
            </w:r>
          </w:p>
        </w:tc>
        <w:tc>
          <w:tcPr>
            <w:tcW w:type="dxa" w:w="3024"/>
          </w:tcPr>
          <w:p>
            <w:r>
              <w:rPr>
                <w:rFonts w:ascii="Times New Roman" w:hAnsi="Times New Roman"/>
                <w:sz w:val="20"/>
              </w:rPr>
              <w:t>Mittel (kein Tracking, aber Massenverarbeitung)</w:t>
            </w:r>
          </w:p>
        </w:tc>
        <w:tc>
          <w:tcPr>
            <w:tcW w:type="dxa" w:w="3024"/>
          </w:tcPr>
          <w:p>
            <w:r>
              <w:rPr>
                <w:rFonts w:ascii="Times New Roman" w:hAnsi="Times New Roman"/>
                <w:sz w:val="20"/>
              </w:rPr>
              <w:t>0,5</w:t>
            </w:r>
          </w:p>
        </w:tc>
      </w:tr>
      <w:tr>
        <w:tc>
          <w:tcPr>
            <w:tcW w:type="dxa" w:w="3024"/>
          </w:tcPr>
          <w:p>
            <w:r>
              <w:rPr>
                <w:rFonts w:ascii="Times New Roman" w:hAnsi="Times New Roman"/>
                <w:sz w:val="20"/>
              </w:rPr>
              <w:t>Sensitive oder hochpersönliche Daten</w:t>
            </w:r>
          </w:p>
        </w:tc>
        <w:tc>
          <w:tcPr>
            <w:tcW w:type="dxa" w:w="3024"/>
          </w:tcPr>
          <w:p>
            <w:r>
              <w:rPr>
                <w:rFonts w:ascii="Times New Roman" w:hAnsi="Times New Roman"/>
                <w:sz w:val="20"/>
              </w:rPr>
              <w:t>Ja (Schufa, Familienstatus)</w:t>
            </w:r>
          </w:p>
        </w:tc>
        <w:tc>
          <w:tcPr>
            <w:tcW w:type="dxa" w:w="3024"/>
          </w:tcPr>
          <w:p>
            <w:r>
              <w:rPr>
                <w:rFonts w:ascii="Times New Roman" w:hAnsi="Times New Roman"/>
                <w:sz w:val="20"/>
              </w:rPr>
              <w:t>1</w:t>
            </w:r>
          </w:p>
        </w:tc>
      </w:tr>
      <w:tr>
        <w:tc>
          <w:tcPr>
            <w:tcW w:type="dxa" w:w="3024"/>
          </w:tcPr>
          <w:p>
            <w:r>
              <w:rPr>
                <w:rFonts w:ascii="Times New Roman" w:hAnsi="Times New Roman"/>
                <w:sz w:val="20"/>
              </w:rPr>
              <w:t>Grosse Mengen / Betroffene</w:t>
            </w:r>
          </w:p>
        </w:tc>
        <w:tc>
          <w:tcPr>
            <w:tcW w:type="dxa" w:w="3024"/>
          </w:tcPr>
          <w:p>
            <w:r>
              <w:rPr>
                <w:rFonts w:ascii="Times New Roman" w:hAnsi="Times New Roman"/>
                <w:sz w:val="20"/>
              </w:rPr>
              <w:t>Ja (142.300 Datensätze)</w:t>
            </w:r>
          </w:p>
        </w:tc>
        <w:tc>
          <w:tcPr>
            <w:tcW w:type="dxa" w:w="3024"/>
          </w:tcPr>
          <w:p>
            <w:r>
              <w:rPr>
                <w:rFonts w:ascii="Times New Roman" w:hAnsi="Times New Roman"/>
                <w:sz w:val="20"/>
              </w:rPr>
              <w:t>1</w:t>
            </w:r>
          </w:p>
        </w:tc>
      </w:tr>
      <w:tr>
        <w:tc>
          <w:tcPr>
            <w:tcW w:type="dxa" w:w="3024"/>
          </w:tcPr>
          <w:p>
            <w:r>
              <w:rPr>
                <w:rFonts w:ascii="Times New Roman" w:hAnsi="Times New Roman"/>
                <w:sz w:val="20"/>
              </w:rPr>
              <w:t>Verknüpfung verschiedener Datensätze</w:t>
            </w:r>
          </w:p>
        </w:tc>
        <w:tc>
          <w:tcPr>
            <w:tcW w:type="dxa" w:w="3024"/>
          </w:tcPr>
          <w:p>
            <w:r>
              <w:rPr>
                <w:rFonts w:ascii="Times New Roman" w:hAnsi="Times New Roman"/>
                <w:sz w:val="20"/>
              </w:rPr>
              <w:t>Ja (Schufa + Selbstauskunft + Profiling)</w:t>
            </w:r>
          </w:p>
        </w:tc>
        <w:tc>
          <w:tcPr>
            <w:tcW w:type="dxa" w:w="3024"/>
          </w:tcPr>
          <w:p>
            <w:r>
              <w:rPr>
                <w:rFonts w:ascii="Times New Roman" w:hAnsi="Times New Roman"/>
                <w:sz w:val="20"/>
              </w:rPr>
              <w:t>1</w:t>
            </w:r>
          </w:p>
        </w:tc>
      </w:tr>
      <w:tr>
        <w:tc>
          <w:tcPr>
            <w:tcW w:type="dxa" w:w="3024"/>
          </w:tcPr>
          <w:p>
            <w:r>
              <w:rPr>
                <w:rFonts w:ascii="Times New Roman" w:hAnsi="Times New Roman"/>
                <w:sz w:val="20"/>
              </w:rPr>
              <w:t>Innovative Technologie</w:t>
            </w:r>
          </w:p>
        </w:tc>
        <w:tc>
          <w:tcPr>
            <w:tcW w:type="dxa" w:w="3024"/>
          </w:tcPr>
          <w:p>
            <w:r>
              <w:rPr>
                <w:rFonts w:ascii="Times New Roman" w:hAnsi="Times New Roman"/>
                <w:sz w:val="20"/>
              </w:rPr>
              <w:t>Ja (KI-Modell ohne DSFA-Vorlage)</w:t>
            </w:r>
          </w:p>
        </w:tc>
        <w:tc>
          <w:tcPr>
            <w:tcW w:type="dxa" w:w="3024"/>
          </w:tcPr>
          <w:p>
            <w:r>
              <w:rPr>
                <w:rFonts w:ascii="Times New Roman" w:hAnsi="Times New Roman"/>
                <w:sz w:val="20"/>
              </w:rPr>
              <w:t>1</w:t>
            </w:r>
          </w:p>
        </w:tc>
      </w:tr>
      <w:tr>
        <w:tc>
          <w:tcPr>
            <w:tcW w:type="dxa" w:w="3024"/>
          </w:tcPr>
          <w:p>
            <w:r>
              <w:rPr>
                <w:rFonts w:ascii="Times New Roman" w:hAnsi="Times New Roman"/>
                <w:sz w:val="20"/>
              </w:rPr>
              <w:t>Hinderung der Ausübung von Rechten</w:t>
            </w:r>
          </w:p>
        </w:tc>
        <w:tc>
          <w:tcPr>
            <w:tcW w:type="dxa" w:w="3024"/>
          </w:tcPr>
          <w:p>
            <w:r>
              <w:rPr>
                <w:rFonts w:ascii="Times New Roman" w:hAnsi="Times New Roman"/>
                <w:sz w:val="20"/>
              </w:rPr>
              <w:t>Ja (Wohnungszugang)</w:t>
            </w:r>
          </w:p>
        </w:tc>
        <w:tc>
          <w:tcPr>
            <w:tcW w:type="dxa" w:w="3024"/>
          </w:tcPr>
          <w:p>
            <w:r>
              <w:rPr>
                <w:rFonts w:ascii="Times New Roman" w:hAnsi="Times New Roman"/>
                <w:sz w:val="20"/>
              </w:rPr>
              <w:t>1</w:t>
            </w:r>
          </w:p>
        </w:tc>
      </w:tr>
    </w:tbl>
    <w:p>
      <w:pPr>
        <w:jc w:val="left"/>
      </w:pPr>
      <w:r>
        <w:rPr>
          <w:b/>
        </w:rPr>
        <w:t>Gesamtbewertung:</w:t>
      </w:r>
      <w:r>
        <w:t xml:space="preserve"> 7,5 von 8 Punkten. Ab 2 Punkten ist eine DSFA erforderlich. </w:t>
      </w:r>
      <w:r>
        <w:rPr>
          <w:b/>
        </w:rPr>
        <w:t>DSFA-Pflicht eindeutig bejaht.</w:t>
      </w:r>
    </w:p>
    <w:p/>
    <w:p>
      <w:pPr>
        <w:pStyle w:val="Heading2"/>
      </w:pPr>
      <w:r>
        <w:rPr>
          <w:rFonts w:ascii="Times New Roman" w:hAnsi="Times New Roman"/>
        </w:rPr>
        <w:t>3. Dokumentiertes Versäumnis</w:t>
      </w:r>
    </w:p>
    <w:p>
      <w:pPr>
        <w:pStyle w:val="Heading3"/>
      </w:pPr>
      <w:r>
        <w:rPr>
          <w:rFonts w:ascii="Times New Roman" w:hAnsi="Times New Roman"/>
        </w:rPr>
        <w:t>3.1 Zeitlinie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Jan 2023</w:t>
            </w:r>
          </w:p>
        </w:tc>
        <w:tc>
          <w:tcPr>
            <w:tcW w:type="dxa" w:w="4536"/>
          </w:tcPr>
          <w:p>
            <w:r>
              <w:rPr>
                <w:rFonts w:ascii="Times New Roman" w:hAnsi="Times New Roman"/>
                <w:sz w:val="20"/>
              </w:rPr>
              <w:t>Interne Entwicklung ProspectScore Pro (v1.0)</w:t>
            </w:r>
          </w:p>
        </w:tc>
      </w:tr>
      <w:tr>
        <w:tc>
          <w:tcPr>
            <w:tcW w:type="dxa" w:w="4536"/>
          </w:tcPr>
          <w:p>
            <w:r>
              <w:rPr>
                <w:rFonts w:ascii="Times New Roman" w:hAnsi="Times New Roman"/>
                <w:sz w:val="20"/>
              </w:rPr>
              <w:t>Mrz 2023</w:t>
            </w:r>
          </w:p>
        </w:tc>
        <w:tc>
          <w:tcPr>
            <w:tcW w:type="dxa" w:w="4536"/>
          </w:tcPr>
          <w:p>
            <w:r>
              <w:rPr>
                <w:rFonts w:ascii="Times New Roman" w:hAnsi="Times New Roman"/>
                <w:sz w:val="20"/>
              </w:rPr>
              <w:t>Go-Live Produktivbetrieb — keine DSFA durchgeführt</w:t>
            </w:r>
          </w:p>
        </w:tc>
      </w:tr>
      <w:tr>
        <w:tc>
          <w:tcPr>
            <w:tcW w:type="dxa" w:w="4536"/>
          </w:tcPr>
          <w:p>
            <w:r>
              <w:rPr>
                <w:rFonts w:ascii="Times New Roman" w:hAnsi="Times New Roman"/>
                <w:sz w:val="20"/>
              </w:rPr>
              <w:t>Jun 2023</w:t>
            </w:r>
          </w:p>
        </w:tc>
        <w:tc>
          <w:tcPr>
            <w:tcW w:type="dxa" w:w="4536"/>
          </w:tcPr>
          <w:p>
            <w:r>
              <w:rPr>
                <w:rFonts w:ascii="Times New Roman" w:hAnsi="Times New Roman"/>
                <w:sz w:val="20"/>
              </w:rPr>
              <w:t>Upgrade auf v2.0 (neues ML-Modell) — keine DSFA</w:t>
            </w:r>
          </w:p>
        </w:tc>
      </w:tr>
      <w:tr>
        <w:tc>
          <w:tcPr>
            <w:tcW w:type="dxa" w:w="4536"/>
          </w:tcPr>
          <w:p>
            <w:r>
              <w:rPr>
                <w:rFonts w:ascii="Times New Roman" w:hAnsi="Times New Roman"/>
                <w:sz w:val="20"/>
              </w:rPr>
              <w:t>Feb 2024</w:t>
            </w:r>
          </w:p>
        </w:tc>
        <w:tc>
          <w:tcPr>
            <w:tcW w:type="dxa" w:w="4536"/>
          </w:tcPr>
          <w:p>
            <w:r>
              <w:rPr>
                <w:rFonts w:ascii="Times New Roman" w:hAnsi="Times New Roman"/>
                <w:sz w:val="20"/>
              </w:rPr>
              <w:t>Upgrade auf v3.0 (erweiterte Datenkategorien) — keine DSFA</w:t>
            </w:r>
          </w:p>
        </w:tc>
      </w:tr>
      <w:tr>
        <w:tc>
          <w:tcPr>
            <w:tcW w:type="dxa" w:w="4536"/>
          </w:tcPr>
          <w:p>
            <w:r>
              <w:rPr>
                <w:rFonts w:ascii="Times New Roman" w:hAnsi="Times New Roman"/>
                <w:sz w:val="20"/>
              </w:rPr>
              <w:t>Nov 2025</w:t>
            </w:r>
          </w:p>
        </w:tc>
        <w:tc>
          <w:tcPr>
            <w:tcW w:type="dxa" w:w="4536"/>
          </w:tcPr>
          <w:p>
            <w:r>
              <w:rPr>
                <w:rFonts w:ascii="Times New Roman" w:hAnsi="Times New Roman"/>
                <w:sz w:val="20"/>
              </w:rPr>
              <w:t>Erste interne Kenntnis des DSFA-Versäumnisses (Whistleblower-Meldung)</w:t>
            </w:r>
          </w:p>
        </w:tc>
      </w:tr>
      <w:tr>
        <w:tc>
          <w:tcPr>
            <w:tcW w:type="dxa" w:w="4536"/>
          </w:tcPr>
          <w:p>
            <w:r>
              <w:rPr>
                <w:rFonts w:ascii="Times New Roman" w:hAnsi="Times New Roman"/>
                <w:sz w:val="20"/>
              </w:rPr>
              <w:t>Jan 2026</w:t>
            </w:r>
          </w:p>
        </w:tc>
        <w:tc>
          <w:tcPr>
            <w:tcW w:type="dxa" w:w="4536"/>
          </w:tcPr>
          <w:p>
            <w:r>
              <w:rPr>
                <w:rFonts w:ascii="Times New Roman" w:hAnsi="Times New Roman"/>
                <w:sz w:val="20"/>
              </w:rPr>
              <w:t>Mandatsuebernahme SBD — DSFA noch immer ausstehend</w:t>
            </w:r>
          </w:p>
        </w:tc>
      </w:tr>
    </w:tbl>
    <w:p>
      <w:pPr>
        <w:pStyle w:val="Heading3"/>
      </w:pPr>
      <w:r>
        <w:rPr>
          <w:rFonts w:ascii="Times New Roman" w:hAnsi="Times New Roman"/>
        </w:rPr>
        <w:t>3.2 Interne Warnsignale</w:t>
      </w:r>
    </w:p>
    <w:p>
      <w:pPr>
        <w:pStyle w:val="ListBullet"/>
      </w:pPr>
      <w:r>
        <w:t>Datenschutzbeauftragte Frau Kessler-Brandt hat laut eigener Aussage zweimal (Mai 2023, Oktober 2024) intern auf die DSFA-Pflicht hingewiesen — ohne Ergebnis</w:t>
      </w:r>
    </w:p>
    <w:p>
      <w:pPr>
        <w:pStyle w:val="ListBullet"/>
      </w:pPr>
      <w:r>
        <w:t>Diese internen Warnhinweise wurden nicht dokumentiert (fehlende Schriftform)</w:t>
      </w:r>
    </w:p>
    <w:p>
      <w:pPr>
        <w:pStyle w:val="ListBullet"/>
      </w:pPr>
      <w:r>
        <w:t>Der Geschäftsführer wurde mündlich informiert und hat die DSFA als „nicht praxisrelevant" abgetan</w:t>
      </w:r>
    </w:p>
    <w:p/>
    <w:p>
      <w:pPr>
        <w:pStyle w:val="Heading2"/>
      </w:pPr>
      <w:r>
        <w:rPr>
          <w:rFonts w:ascii="Times New Roman" w:hAnsi="Times New Roman"/>
        </w:rPr>
        <w:t>4. Inhalt einer nachzuholenden DSFA</w:t>
      </w:r>
    </w:p>
    <w:p>
      <w:pPr>
        <w:jc w:val="left"/>
      </w:pPr>
      <w:r>
        <w:t>Die DSFA muss gemäß Art. 35 Abs. 7 DSGVO mindestens enthalten:</w:t>
      </w:r>
    </w:p>
    <w:p>
      <w:pPr>
        <w:pStyle w:val="Heading3"/>
      </w:pPr>
      <w:r>
        <w:rPr>
          <w:rFonts w:ascii="Times New Roman" w:hAnsi="Times New Roman"/>
        </w:rPr>
        <w:t>4.1 Systematische Beschreibung der Verarbeitungsvorgänge (Art. 35 Abs. 7 lit. a)</w:t>
      </w:r>
    </w:p>
    <w:p>
      <w:pPr>
        <w:jc w:val="left"/>
      </w:pPr>
      <w:r>
        <w:t>```</w:t>
      </w:r>
    </w:p>
    <w:p>
      <w:pPr>
        <w:jc w:val="left"/>
      </w:pPr>
      <w:r>
        <w:t>Verarbeitungsvorgang: Automatisiertes Profiling von Mietinteressenten</w:t>
      </w:r>
    </w:p>
    <w:p>
      <w:pPr>
        <w:jc w:val="left"/>
      </w:pPr>
      <w:r>
        <w:t>Zweck: Risikobeurteilung fuer angeschlossene Privatvermieter</w:t>
      </w:r>
    </w:p>
    <w:p>
      <w:pPr>
        <w:jc w:val="left"/>
      </w:pPr>
      <w:r>
        <w:t>Datenkategorien: Schufa-Score, Negativmerkmale, Beruf, Einkommen,</w:t>
      </w:r>
    </w:p>
    <w:p>
      <w:pPr>
        <w:jc w:val="left"/>
      </w:pPr>
      <w:r>
        <w:t>Familienstatus, Haushaltsgroesse</w:t>
      </w:r>
    </w:p>
    <w:p>
      <w:pPr>
        <w:jc w:val="left"/>
      </w:pPr>
      <w:r>
        <w:t>Verarbeitung: ML-Modell ProspectScore Pro v3.0 (Random Forest + Neural Net)</w:t>
      </w:r>
    </w:p>
    <w:p>
      <w:pPr>
        <w:jc w:val="left"/>
      </w:pPr>
      <w:r>
        <w:t>Empfaenger: Privatvermieter (B2B-Kunden, 12.400+)</w:t>
      </w:r>
    </w:p>
    <w:p>
      <w:pPr>
        <w:jc w:val="left"/>
      </w:pPr>
      <w:r>
        <w:t>Drittlandtransfer: Sundara Tech Pvt. Ltd. (Bengaluru) — Entwicklung/Support</w:t>
      </w:r>
    </w:p>
    <w:p>
      <w:pPr>
        <w:jc w:val="left"/>
      </w:pPr>
      <w:r>
        <w:t>Speicherdauer: 24 Monate nach letzter Abfrage</w:t>
      </w:r>
    </w:p>
    <w:p>
      <w:pPr>
        <w:jc w:val="left"/>
      </w:pPr>
      <w:r>
        <w:t>```</w:t>
      </w:r>
    </w:p>
    <w:p>
      <w:pPr>
        <w:pStyle w:val="Heading3"/>
      </w:pPr>
      <w:r>
        <w:rPr>
          <w:rFonts w:ascii="Times New Roman" w:hAnsi="Times New Roman"/>
        </w:rPr>
        <w:t>4.2 Beurteilung der Notwendigkeit und Verhaeltnismaessigkeit (Art. 35 Abs. 7 lit. b)</w:t>
      </w:r>
    </w:p>
    <w:p>
      <w:pPr>
        <w:jc w:val="left"/>
      </w:pPr>
      <w:r>
        <w:t>Die Erhebung des Familienstatus und der Haushaltsgroesse ist für den legitimen Zweck der Bonitätsprüfung nicht erforderlich (Verhaeltnismaessigkeit verletzt). Ausreichend wäre: Schufa-Score + Einkommensnachweise. Alle weiteren Datenkategorien sind zu entfernen.</w:t>
      </w:r>
    </w:p>
    <w:p>
      <w:pPr>
        <w:pStyle w:val="Heading3"/>
      </w:pPr>
      <w:r>
        <w:rPr>
          <w:rFonts w:ascii="Times New Roman" w:hAnsi="Times New Roman"/>
        </w:rPr>
        <w:t>4.3 Risikobewertung (Art. 35 Abs. 7 lit. c)</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Risiko</w:t>
            </w:r>
          </w:p>
        </w:tc>
        <w:tc>
          <w:tcPr>
            <w:tcW w:type="dxa" w:w="2268"/>
          </w:tcPr>
          <w:p>
            <w:r>
              <w:rPr>
                <w:rFonts w:ascii="Times New Roman" w:hAnsi="Times New Roman"/>
                <w:b/>
                <w:sz w:val="20"/>
              </w:rPr>
              <w:t>Eintrittswahrscheinlichkeit</w:t>
            </w:r>
          </w:p>
        </w:tc>
        <w:tc>
          <w:tcPr>
            <w:tcW w:type="dxa" w:w="2268"/>
          </w:tcPr>
          <w:p>
            <w:r>
              <w:rPr>
                <w:rFonts w:ascii="Times New Roman" w:hAnsi="Times New Roman"/>
                <w:b/>
                <w:sz w:val="20"/>
              </w:rPr>
              <w:t>Schwere</w:t>
            </w:r>
          </w:p>
        </w:tc>
        <w:tc>
          <w:tcPr>
            <w:tcW w:type="dxa" w:w="2268"/>
          </w:tcPr>
          <w:p>
            <w:r>
              <w:rPr>
                <w:rFonts w:ascii="Times New Roman" w:hAnsi="Times New Roman"/>
                <w:b/>
                <w:sz w:val="20"/>
              </w:rPr>
              <w:t>Gesamtrisiko</w:t>
            </w:r>
          </w:p>
        </w:tc>
      </w:tr>
      <w:tr>
        <w:tc>
          <w:tcPr>
            <w:tcW w:type="dxa" w:w="2268"/>
          </w:tcPr>
          <w:p>
            <w:r>
              <w:rPr>
                <w:rFonts w:ascii="Times New Roman" w:hAnsi="Times New Roman"/>
                <w:sz w:val="20"/>
              </w:rPr>
              <w:t>Fehlerhafte Bonitätsbewertung für Betroffene</w:t>
            </w:r>
          </w:p>
        </w:tc>
        <w:tc>
          <w:tcPr>
            <w:tcW w:type="dxa" w:w="2268"/>
          </w:tcPr>
          <w:p>
            <w:r>
              <w:rPr>
                <w:rFonts w:ascii="Times New Roman" w:hAnsi="Times New Roman"/>
                <w:sz w:val="20"/>
              </w:rPr>
              <w:t>Hoch</w:t>
            </w:r>
          </w:p>
        </w:tc>
        <w:tc>
          <w:tcPr>
            <w:tcW w:type="dxa" w:w="2268"/>
          </w:tcPr>
          <w:p>
            <w:r>
              <w:rPr>
                <w:rFonts w:ascii="Times New Roman" w:hAnsi="Times New Roman"/>
                <w:sz w:val="20"/>
              </w:rPr>
              <w:t>Hoch</w:t>
            </w:r>
          </w:p>
        </w:tc>
        <w:tc>
          <w:tcPr>
            <w:tcW w:type="dxa" w:w="2268"/>
          </w:tcPr>
          <w:p>
            <w:r>
              <w:rPr>
                <w:rFonts w:ascii="Times New Roman" w:hAnsi="Times New Roman"/>
                <w:sz w:val="20"/>
              </w:rPr>
              <w:t>KRITISCH</w:t>
            </w:r>
          </w:p>
        </w:tc>
      </w:tr>
      <w:tr>
        <w:tc>
          <w:tcPr>
            <w:tcW w:type="dxa" w:w="2268"/>
          </w:tcPr>
          <w:p>
            <w:r>
              <w:rPr>
                <w:rFonts w:ascii="Times New Roman" w:hAnsi="Times New Roman"/>
                <w:sz w:val="20"/>
              </w:rPr>
              <w:t>Diskriminierung aufgrund Familienstatus</w:t>
            </w:r>
          </w:p>
        </w:tc>
        <w:tc>
          <w:tcPr>
            <w:tcW w:type="dxa" w:w="2268"/>
          </w:tcPr>
          <w:p>
            <w:r>
              <w:rPr>
                <w:rFonts w:ascii="Times New Roman" w:hAnsi="Times New Roman"/>
                <w:sz w:val="20"/>
              </w:rPr>
              <w:t>Mittel</w:t>
            </w:r>
          </w:p>
        </w:tc>
        <w:tc>
          <w:tcPr>
            <w:tcW w:type="dxa" w:w="2268"/>
          </w:tcPr>
          <w:p>
            <w:r>
              <w:rPr>
                <w:rFonts w:ascii="Times New Roman" w:hAnsi="Times New Roman"/>
                <w:sz w:val="20"/>
              </w:rPr>
              <w:t>Hoch</w:t>
            </w:r>
          </w:p>
        </w:tc>
        <w:tc>
          <w:tcPr>
            <w:tcW w:type="dxa" w:w="2268"/>
          </w:tcPr>
          <w:p>
            <w:r>
              <w:rPr>
                <w:rFonts w:ascii="Times New Roman" w:hAnsi="Times New Roman"/>
                <w:sz w:val="20"/>
              </w:rPr>
              <w:t>HOCH</w:t>
            </w:r>
          </w:p>
        </w:tc>
      </w:tr>
      <w:tr>
        <w:tc>
          <w:tcPr>
            <w:tcW w:type="dxa" w:w="2268"/>
          </w:tcPr>
          <w:p>
            <w:r>
              <w:rPr>
                <w:rFonts w:ascii="Times New Roman" w:hAnsi="Times New Roman"/>
                <w:sz w:val="20"/>
              </w:rPr>
              <w:t>Datenleak sensibler Scoring-Daten</w:t>
            </w:r>
          </w:p>
        </w:tc>
        <w:tc>
          <w:tcPr>
            <w:tcW w:type="dxa" w:w="2268"/>
          </w:tcPr>
          <w:p>
            <w:r>
              <w:rPr>
                <w:rFonts w:ascii="Times New Roman" w:hAnsi="Times New Roman"/>
                <w:sz w:val="20"/>
              </w:rPr>
              <w:t>Realisiert (CVE-2026-0188)</w:t>
            </w:r>
          </w:p>
        </w:tc>
        <w:tc>
          <w:tcPr>
            <w:tcW w:type="dxa" w:w="2268"/>
          </w:tcPr>
          <w:p>
            <w:r>
              <w:rPr>
                <w:rFonts w:ascii="Times New Roman" w:hAnsi="Times New Roman"/>
                <w:sz w:val="20"/>
              </w:rPr>
              <w:t>Sehr hoch</w:t>
            </w:r>
          </w:p>
        </w:tc>
        <w:tc>
          <w:tcPr>
            <w:tcW w:type="dxa" w:w="2268"/>
          </w:tcPr>
          <w:p>
            <w:r>
              <w:rPr>
                <w:rFonts w:ascii="Times New Roman" w:hAnsi="Times New Roman"/>
                <w:sz w:val="20"/>
              </w:rPr>
              <w:t>KRITISCH</w:t>
            </w:r>
          </w:p>
        </w:tc>
      </w:tr>
      <w:tr>
        <w:tc>
          <w:tcPr>
            <w:tcW w:type="dxa" w:w="2268"/>
          </w:tcPr>
          <w:p>
            <w:r>
              <w:rPr>
                <w:rFonts w:ascii="Times New Roman" w:hAnsi="Times New Roman"/>
                <w:sz w:val="20"/>
              </w:rPr>
              <w:t>Drittlandtransfer ohne SCC</w:t>
            </w:r>
          </w:p>
        </w:tc>
        <w:tc>
          <w:tcPr>
            <w:tcW w:type="dxa" w:w="2268"/>
          </w:tcPr>
          <w:p>
            <w:r>
              <w:rPr>
                <w:rFonts w:ascii="Times New Roman" w:hAnsi="Times New Roman"/>
                <w:sz w:val="20"/>
              </w:rPr>
              <w:t>Hoch</w:t>
            </w:r>
          </w:p>
        </w:tc>
        <w:tc>
          <w:tcPr>
            <w:tcW w:type="dxa" w:w="2268"/>
          </w:tcPr>
          <w:p>
            <w:r>
              <w:rPr>
                <w:rFonts w:ascii="Times New Roman" w:hAnsi="Times New Roman"/>
                <w:sz w:val="20"/>
              </w:rPr>
              <w:t>Hoch</w:t>
            </w:r>
          </w:p>
        </w:tc>
        <w:tc>
          <w:tcPr>
            <w:tcW w:type="dxa" w:w="2268"/>
          </w:tcPr>
          <w:p>
            <w:r>
              <w:rPr>
                <w:rFonts w:ascii="Times New Roman" w:hAnsi="Times New Roman"/>
                <w:sz w:val="20"/>
              </w:rPr>
              <w:t>KRITISCH</w:t>
            </w:r>
          </w:p>
        </w:tc>
      </w:tr>
      <w:tr>
        <w:tc>
          <w:tcPr>
            <w:tcW w:type="dxa" w:w="2268"/>
          </w:tcPr>
          <w:p>
            <w:r>
              <w:rPr>
                <w:rFonts w:ascii="Times New Roman" w:hAnsi="Times New Roman"/>
                <w:sz w:val="20"/>
              </w:rPr>
              <w:t>Nichtbeachtung Widerruf / Löschung</w:t>
            </w:r>
          </w:p>
        </w:tc>
        <w:tc>
          <w:tcPr>
            <w:tcW w:type="dxa" w:w="2268"/>
          </w:tcPr>
          <w:p>
            <w:r>
              <w:rPr>
                <w:rFonts w:ascii="Times New Roman" w:hAnsi="Times New Roman"/>
                <w:sz w:val="20"/>
              </w:rPr>
              <w:t>Mittel</w:t>
            </w:r>
          </w:p>
        </w:tc>
        <w:tc>
          <w:tcPr>
            <w:tcW w:type="dxa" w:w="2268"/>
          </w:tcPr>
          <w:p>
            <w:r>
              <w:rPr>
                <w:rFonts w:ascii="Times New Roman" w:hAnsi="Times New Roman"/>
                <w:sz w:val="20"/>
              </w:rPr>
              <w:t>Mittel</w:t>
            </w:r>
          </w:p>
        </w:tc>
        <w:tc>
          <w:tcPr>
            <w:tcW w:type="dxa" w:w="2268"/>
          </w:tcPr>
          <w:p>
            <w:r>
              <w:rPr>
                <w:rFonts w:ascii="Times New Roman" w:hAnsi="Times New Roman"/>
                <w:sz w:val="20"/>
              </w:rPr>
              <w:t>MITTEL</w:t>
            </w:r>
          </w:p>
        </w:tc>
      </w:tr>
    </w:tbl>
    <w:p>
      <w:pPr>
        <w:pStyle w:val="Heading3"/>
      </w:pPr>
      <w:r>
        <w:rPr>
          <w:rFonts w:ascii="Times New Roman" w:hAnsi="Times New Roman"/>
        </w:rPr>
        <w:t>4.4 Geplante Massnahmen zur Risikominimierung (Art. 35 Abs. 7 lit. d)</w:t>
      </w:r>
    </w:p>
    <w:p>
      <w:pPr>
        <w:pStyle w:val="ListNumber"/>
      </w:pPr>
      <w:r>
        <w:t>Human-in-the-Loop (HITL) Implementierung: Obligatorische menschliche Pruefung</w:t>
      </w:r>
    </w:p>
    <w:p>
      <w:pPr>
        <w:pStyle w:val="ListNumber"/>
      </w:pPr>
      <w:r>
        <w:t>Datenminimierung: Streichung Familienstatus und Haushaltsgroesse</w:t>
      </w:r>
    </w:p>
    <w:p>
      <w:pPr>
        <w:pStyle w:val="ListNumber"/>
      </w:pPr>
      <w:r>
        <w:t>Auftragsverarbeitungsvertrag (AVV) mit SCC für Sundara Tech</w:t>
      </w:r>
    </w:p>
    <w:p>
      <w:pPr>
        <w:pStyle w:val="ListNumber"/>
      </w:pPr>
      <w:r>
        <w:t>Technische Sicherheitsmassnahmen: Behebung CVE-2026-0188, End-to-End-Verschlüsselung</w:t>
      </w:r>
    </w:p>
    <w:p>
      <w:pPr>
        <w:pStyle w:val="ListNumber"/>
      </w:pPr>
      <w:r>
        <w:t>Betroffenenrechte: Implementierung Auskunfts-, Widerspruchs- und Loeschungsportal</w:t>
      </w:r>
    </w:p>
    <w:p>
      <w:pPr>
        <w:pStyle w:val="ListNumber"/>
      </w:pPr>
      <w:r>
        <w:t>Regelmäßige Pruefung des ML-Modells auf Diskriminierungseffekte (Bias-Audit)</w:t>
      </w:r>
    </w:p>
    <w:p/>
    <w:p>
      <w:pPr>
        <w:pStyle w:val="Heading2"/>
      </w:pPr>
      <w:r>
        <w:rPr>
          <w:rFonts w:ascii="Times New Roman" w:hAnsi="Times New Roman"/>
        </w:rPr>
        <w:t>5. Konsultationspflicht bei LDI NRW (Art. 36 DSGVO)</w:t>
      </w:r>
    </w:p>
    <w:p>
      <w:pPr>
        <w:jc w:val="left"/>
      </w:pPr>
      <w:r>
        <w:t>Gemäß Art. 36 Abs. 1 DSGVO ist der Verantwortliche verpflichtet, vor Beginn der Verarbeitung die Aufsichtsbehörde zu konsultieren, wenn aus der DSFA ein hohes Risiko hervorgeht und der Verantwortliche keine geeigneten Massnahmen zur Eindämmung des Risikos trifft.</w:t>
      </w:r>
    </w:p>
    <w:p>
      <w:pPr>
        <w:jc w:val="left"/>
      </w:pPr>
      <w:r>
        <w:t>Da die DSFA nachträglich durchgeführt wird und das Risiko als KRITISCH eingestuft wurde, ist eine Vorabkonsultation (Art. 36 DSGVO) bei der LDI NRW obligatorisch. Dies wird gleichzeitig zur Entlastung im Aufsichtsverfahren DSB-NW-44/26 genutzt.</w:t>
      </w:r>
    </w:p>
    <w:p/>
    <w:p>
      <w:pPr>
        <w:pStyle w:val="Heading2"/>
      </w:pPr>
      <w:r>
        <w:rPr>
          <w:rFonts w:ascii="Times New Roman" w:hAnsi="Times New Roman"/>
        </w:rPr>
        <w:t>6. Zeitplan DSFA-Nachholung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Meilenstein</w:t>
            </w:r>
          </w:p>
        </w:tc>
        <w:tc>
          <w:tcPr>
            <w:tcW w:type="dxa" w:w="3024"/>
          </w:tcPr>
          <w:p>
            <w:r>
              <w:rPr>
                <w:rFonts w:ascii="Times New Roman" w:hAnsi="Times New Roman"/>
                <w:b/>
                <w:sz w:val="20"/>
              </w:rPr>
              <w:t>Verantwortlich</w:t>
            </w:r>
          </w:p>
        </w:tc>
        <w:tc>
          <w:tcPr>
            <w:tcW w:type="dxa" w:w="3024"/>
          </w:tcPr>
          <w:p>
            <w:r>
              <w:rPr>
                <w:rFonts w:ascii="Times New Roman" w:hAnsi="Times New Roman"/>
                <w:b/>
                <w:sz w:val="20"/>
              </w:rPr>
              <w:t>Frist</w:t>
            </w:r>
          </w:p>
        </w:tc>
      </w:tr>
      <w:tr>
        <w:tc>
          <w:tcPr>
            <w:tcW w:type="dxa" w:w="3024"/>
          </w:tcPr>
          <w:p>
            <w:r>
              <w:rPr>
                <w:rFonts w:ascii="Times New Roman" w:hAnsi="Times New Roman"/>
                <w:sz w:val="20"/>
              </w:rPr>
              <w:t>DSFA-Kickoff-Workshop</w:t>
            </w:r>
          </w:p>
        </w:tc>
        <w:tc>
          <w:tcPr>
            <w:tcW w:type="dxa" w:w="3024"/>
          </w:tcPr>
          <w:p>
            <w:r>
              <w:rPr>
                <w:rFonts w:ascii="Times New Roman" w:hAnsi="Times New Roman"/>
                <w:sz w:val="20"/>
              </w:rPr>
              <w:t>Dr. Specht + Kessler-Brandt</w:t>
            </w:r>
          </w:p>
        </w:tc>
        <w:tc>
          <w:tcPr>
            <w:tcW w:type="dxa" w:w="3024"/>
          </w:tcPr>
          <w:p>
            <w:r>
              <w:rPr>
                <w:rFonts w:ascii="Times New Roman" w:hAnsi="Times New Roman"/>
                <w:sz w:val="20"/>
              </w:rPr>
              <w:t>20.01.2026</w:t>
            </w:r>
          </w:p>
        </w:tc>
      </w:tr>
      <w:tr>
        <w:tc>
          <w:tcPr>
            <w:tcW w:type="dxa" w:w="3024"/>
          </w:tcPr>
          <w:p>
            <w:r>
              <w:rPr>
                <w:rFonts w:ascii="Times New Roman" w:hAnsi="Times New Roman"/>
                <w:sz w:val="20"/>
              </w:rPr>
              <w:t>Technische Beschreibung ProspectScore Pro</w:t>
            </w:r>
          </w:p>
        </w:tc>
        <w:tc>
          <w:tcPr>
            <w:tcW w:type="dxa" w:w="3024"/>
          </w:tcPr>
          <w:p>
            <w:r>
              <w:rPr>
                <w:rFonts w:ascii="Times New Roman" w:hAnsi="Times New Roman"/>
                <w:sz w:val="20"/>
              </w:rPr>
              <w:t>DevOps-Leiter Bilgic</w:t>
            </w:r>
          </w:p>
        </w:tc>
        <w:tc>
          <w:tcPr>
            <w:tcW w:type="dxa" w:w="3024"/>
          </w:tcPr>
          <w:p>
            <w:r>
              <w:rPr>
                <w:rFonts w:ascii="Times New Roman" w:hAnsi="Times New Roman"/>
                <w:sz w:val="20"/>
              </w:rPr>
              <w:t>27.01.2026</w:t>
            </w:r>
          </w:p>
        </w:tc>
      </w:tr>
      <w:tr>
        <w:tc>
          <w:tcPr>
            <w:tcW w:type="dxa" w:w="3024"/>
          </w:tcPr>
          <w:p>
            <w:r>
              <w:rPr>
                <w:rFonts w:ascii="Times New Roman" w:hAnsi="Times New Roman"/>
                <w:sz w:val="20"/>
              </w:rPr>
              <w:t>Risikobewertung (extern: SecureProof GmbH)</w:t>
            </w:r>
          </w:p>
        </w:tc>
        <w:tc>
          <w:tcPr>
            <w:tcW w:type="dxa" w:w="3024"/>
          </w:tcPr>
          <w:p>
            <w:r>
              <w:rPr>
                <w:rFonts w:ascii="Times New Roman" w:hAnsi="Times New Roman"/>
                <w:sz w:val="20"/>
              </w:rPr>
              <w:t>SecureProof GmbH</w:t>
            </w:r>
          </w:p>
        </w:tc>
        <w:tc>
          <w:tcPr>
            <w:tcW w:type="dxa" w:w="3024"/>
          </w:tcPr>
          <w:p>
            <w:r>
              <w:rPr>
                <w:rFonts w:ascii="Times New Roman" w:hAnsi="Times New Roman"/>
                <w:sz w:val="20"/>
              </w:rPr>
              <w:t>31.01.2026</w:t>
            </w:r>
          </w:p>
        </w:tc>
      </w:tr>
      <w:tr>
        <w:tc>
          <w:tcPr>
            <w:tcW w:type="dxa" w:w="3024"/>
          </w:tcPr>
          <w:p>
            <w:r>
              <w:rPr>
                <w:rFonts w:ascii="Times New Roman" w:hAnsi="Times New Roman"/>
                <w:sz w:val="20"/>
              </w:rPr>
              <w:t>Entwurf DSFA-Dokument</w:t>
            </w:r>
          </w:p>
        </w:tc>
        <w:tc>
          <w:tcPr>
            <w:tcW w:type="dxa" w:w="3024"/>
          </w:tcPr>
          <w:p>
            <w:r>
              <w:rPr>
                <w:rFonts w:ascii="Times New Roman" w:hAnsi="Times New Roman"/>
                <w:sz w:val="20"/>
              </w:rPr>
              <w:t>RAin Beckenbauer</w:t>
            </w:r>
          </w:p>
        </w:tc>
        <w:tc>
          <w:tcPr>
            <w:tcW w:type="dxa" w:w="3024"/>
          </w:tcPr>
          <w:p>
            <w:r>
              <w:rPr>
                <w:rFonts w:ascii="Times New Roman" w:hAnsi="Times New Roman"/>
                <w:sz w:val="20"/>
              </w:rPr>
              <w:t>07.02.2026</w:t>
            </w:r>
          </w:p>
        </w:tc>
      </w:tr>
      <w:tr>
        <w:tc>
          <w:tcPr>
            <w:tcW w:type="dxa" w:w="3024"/>
          </w:tcPr>
          <w:p>
            <w:r>
              <w:rPr>
                <w:rFonts w:ascii="Times New Roman" w:hAnsi="Times New Roman"/>
                <w:sz w:val="20"/>
              </w:rPr>
              <w:t>Freigabe durch DSB Kessler-Brandt</w:t>
            </w:r>
          </w:p>
        </w:tc>
        <w:tc>
          <w:tcPr>
            <w:tcW w:type="dxa" w:w="3024"/>
          </w:tcPr>
          <w:p>
            <w:r>
              <w:rPr>
                <w:rFonts w:ascii="Times New Roman" w:hAnsi="Times New Roman"/>
                <w:sz w:val="20"/>
              </w:rPr>
              <w:t>DSB Kessler-Brandt</w:t>
            </w:r>
          </w:p>
        </w:tc>
        <w:tc>
          <w:tcPr>
            <w:tcW w:type="dxa" w:w="3024"/>
          </w:tcPr>
          <w:p>
            <w:r>
              <w:rPr>
                <w:rFonts w:ascii="Times New Roman" w:hAnsi="Times New Roman"/>
                <w:sz w:val="20"/>
              </w:rPr>
              <w:t>10.02.2026</w:t>
            </w:r>
          </w:p>
        </w:tc>
      </w:tr>
      <w:tr>
        <w:tc>
          <w:tcPr>
            <w:tcW w:type="dxa" w:w="3024"/>
          </w:tcPr>
          <w:p>
            <w:r>
              <w:rPr>
                <w:rFonts w:ascii="Times New Roman" w:hAnsi="Times New Roman"/>
                <w:sz w:val="20"/>
              </w:rPr>
              <w:t>Einreichung bei LDI NRW (Art. 36 DSGVO)</w:t>
            </w:r>
          </w:p>
        </w:tc>
        <w:tc>
          <w:tcPr>
            <w:tcW w:type="dxa" w:w="3024"/>
          </w:tcPr>
          <w:p>
            <w:r>
              <w:rPr>
                <w:rFonts w:ascii="Times New Roman" w:hAnsi="Times New Roman"/>
                <w:sz w:val="20"/>
              </w:rPr>
              <w:t>RA Dr. Specht</w:t>
            </w:r>
          </w:p>
        </w:tc>
        <w:tc>
          <w:tcPr>
            <w:tcW w:type="dxa" w:w="3024"/>
          </w:tcPr>
          <w:p>
            <w:r>
              <w:rPr>
                <w:rFonts w:ascii="Times New Roman" w:hAnsi="Times New Roman"/>
                <w:sz w:val="20"/>
              </w:rPr>
              <w:t>14.02.2026</w:t>
            </w:r>
          </w:p>
        </w:tc>
      </w:tr>
    </w:tbl>
    <w:p/>
    <w:p>
      <w:pPr>
        <w:pStyle w:val="Heading2"/>
      </w:pPr>
      <w:r>
        <w:rPr>
          <w:rFonts w:ascii="Times New Roman" w:hAnsi="Times New Roman"/>
        </w:rPr>
        <w:t>Quellen</w:t>
      </w:r>
    </w:p>
    <w:p>
      <w:pPr>
        <w:pStyle w:val="ListBullet"/>
      </w:pPr>
      <w:r>
        <w:t>DSGVO Art. 35, 36 — dejure.org/gesetze/DSGVO</w:t>
      </w:r>
    </w:p>
    <w:p>
      <w:pPr>
        <w:pStyle w:val="ListBullet"/>
      </w:pPr>
      <w:r>
        <w:t>DSK-Kurzpapier Nr. 5 (DSFA) — datenschutzkonferenz-online.de</w:t>
      </w:r>
    </w:p>
    <w:p>
      <w:pPr>
        <w:pStyle w:val="ListBullet"/>
      </w:pPr>
      <w:r>
        <w:t>LDI NRW Muss-Liste gemäß Art. 35 Abs. 4 DSGVO — ldi.nrw.de</w:t>
      </w:r>
    </w:p>
    <w:p>
      <w:pPr>
        <w:pStyle w:val="ListBullet"/>
      </w:pPr>
      <w:r>
        <w:t>EDSA-Leitlinien 09/2022 (DSFA) — edpb.europa.eu</w:t>
      </w:r>
    </w:p>
    <w:p>
      <w:pPr>
        <w:pStyle w:val="ListBullet"/>
      </w:pPr>
      <w:r>
        <w:t>BGH VI ZR 10/24 — bundesgerichtshof.de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