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06 — Drittlandsuebermittlung Art. 44 ff. DSGVO: Sundara Tech Pvt. Ltd. (Bengaluru)</w:t>
      </w:r>
    </w:p>
    <w:p>
      <w:pPr>
        <w:jc w:val="left"/>
      </w:pPr>
      <w:r>
        <w:rPr>
          <w:b/>
        </w:rPr>
        <w:t>Aktenzeichen:</w:t>
      </w:r>
      <w:r>
        <w:t xml:space="preserve"> DSB-NW-44/26</w:t>
      </w:r>
    </w:p>
    <w:p>
      <w:pPr>
        <w:jc w:val="left"/>
      </w:pPr>
      <w:r>
        <w:rPr>
          <w:b/>
        </w:rPr>
        <w:t>Bearbeiter:</w:t>
      </w:r>
      <w:r>
        <w:t xml:space="preserve"> RA Lars Drosselberg, RA Dr. Cornelius Specht</w:t>
      </w:r>
    </w:p>
    <w:p>
      <w:pPr>
        <w:jc w:val="left"/>
      </w:pPr>
      <w:r>
        <w:rPr>
          <w:b/>
        </w:rPr>
        <w:t>Datum:</w:t>
      </w:r>
      <w:r>
        <w:t xml:space="preserve"> 18. Januar 2026</w:t>
      </w:r>
    </w:p>
    <w:p>
      <w:pPr>
        <w:jc w:val="left"/>
      </w:pPr>
      <w:r>
        <w:rPr>
          <w:b/>
        </w:rPr>
        <w:t>Betreff:</w:t>
      </w:r>
      <w:r>
        <w:t xml:space="preserve"> Rechtmaessigkeit der Datenübermittlung nach Indien ohne SCC</w:t>
      </w:r>
    </w:p>
    <w:p/>
    <w:p>
      <w:pPr>
        <w:pStyle w:val="Heading2"/>
      </w:pPr>
      <w:r>
        <w:rPr>
          <w:rFonts w:ascii="Times New Roman" w:hAnsi="Times New Roman"/>
        </w:rPr>
        <w:t>1. Sachverhaltsdarstellung</w:t>
      </w:r>
    </w:p>
    <w:p>
      <w:pPr>
        <w:pStyle w:val="Heading3"/>
      </w:pPr>
      <w:r>
        <w:rPr>
          <w:rFonts w:ascii="Times New Roman" w:hAnsi="Times New Roman"/>
        </w:rPr>
        <w:t>1.1 Dienstleister Sundara Tech Pvt. Ltd.</w:t>
      </w:r>
    </w:p>
    <w:p>
      <w:pPr>
        <w:pStyle w:val="ListBullet"/>
      </w:pPr>
      <w:r>
        <w:rPr>
          <w:b/>
        </w:rPr>
        <w:t>Firma:</w:t>
      </w:r>
      <w:r>
        <w:t xml:space="preserve"> Sundara Tech Pvt. Ltd.</w:t>
      </w:r>
    </w:p>
    <w:p>
      <w:pPr>
        <w:pStyle w:val="ListBullet"/>
      </w:pPr>
      <w:r>
        <w:rPr>
          <w:b/>
        </w:rPr>
        <w:t>Sitz:</w:t>
      </w:r>
      <w:r>
        <w:t xml:space="preserve"> No. 42, 4th Floor, Prestige Tech Park, Sarjapur Road, Bengaluru, Karnataka 560103, Indien</w:t>
      </w:r>
    </w:p>
    <w:p>
      <w:pPr>
        <w:pStyle w:val="ListBullet"/>
      </w:pPr>
      <w:r>
        <w:rPr>
          <w:b/>
        </w:rPr>
        <w:t>Tätigkeit:</w:t>
      </w:r>
      <w:r>
        <w:t xml:space="preserve"> Softwareentwicklung und Second-Level-Support für ProspectScore Pro</w:t>
      </w:r>
    </w:p>
    <w:p>
      <w:pPr>
        <w:pStyle w:val="ListBullet"/>
      </w:pPr>
      <w:r>
        <w:rPr>
          <w:b/>
        </w:rPr>
        <w:t>Vertragsbeziehung:</w:t>
      </w:r>
      <w:r>
        <w:t xml:space="preserve"> Entwicklungsvertrag seit Oktober 2022; Auftragsverarbeitungsvertrag (AVV) seit Dezember 2023 (nachträglich)</w:t>
      </w:r>
    </w:p>
    <w:p>
      <w:pPr>
        <w:pStyle w:val="ListBullet"/>
      </w:pPr>
      <w:r>
        <w:rPr>
          <w:b/>
        </w:rPr>
        <w:t>Datenzugang:</w:t>
      </w:r>
      <w:r>
        <w:t xml:space="preserve"> Zugriff auf Produktionsdaten für Debugging und Modelltraining (Rohdaten der Mietinteressenten)</w:t>
      </w:r>
    </w:p>
    <w:p>
      <w:pPr>
        <w:pStyle w:val="Heading3"/>
      </w:pPr>
      <w:r>
        <w:rPr>
          <w:rFonts w:ascii="Times New Roman" w:hAnsi="Times New Roman"/>
        </w:rPr>
        <w:t>1.2 Art der übermittelten Daten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Datenkategorie</w:t>
            </w:r>
          </w:p>
        </w:tc>
        <w:tc>
          <w:tcPr>
            <w:tcW w:type="dxa" w:w="3024"/>
          </w:tcPr>
          <w:p>
            <w:r>
              <w:rPr>
                <w:rFonts w:ascii="Times New Roman" w:hAnsi="Times New Roman"/>
                <w:b/>
                <w:sz w:val="20"/>
              </w:rPr>
              <w:t>Uebermittlungsweg</w:t>
            </w:r>
          </w:p>
        </w:tc>
        <w:tc>
          <w:tcPr>
            <w:tcW w:type="dxa" w:w="3024"/>
          </w:tcPr>
          <w:p>
            <w:r>
              <w:rPr>
                <w:rFonts w:ascii="Times New Roman" w:hAnsi="Times New Roman"/>
                <w:b/>
                <w:sz w:val="20"/>
              </w:rPr>
              <w:t>Verschlüsselung</w:t>
            </w:r>
          </w:p>
        </w:tc>
      </w:tr>
      <w:tr>
        <w:tc>
          <w:tcPr>
            <w:tcW w:type="dxa" w:w="3024"/>
          </w:tcPr>
          <w:p>
            <w:r>
              <w:rPr>
                <w:rFonts w:ascii="Times New Roman" w:hAnsi="Times New Roman"/>
                <w:sz w:val="20"/>
              </w:rPr>
              <w:t>Mietinteressenten-Rohdaten (Scoring)</w:t>
            </w:r>
          </w:p>
        </w:tc>
        <w:tc>
          <w:tcPr>
            <w:tcW w:type="dxa" w:w="3024"/>
          </w:tcPr>
          <w:p>
            <w:r>
              <w:rPr>
                <w:rFonts w:ascii="Times New Roman" w:hAnsi="Times New Roman"/>
                <w:sz w:val="20"/>
              </w:rPr>
              <w:t>API-Call (REST)</w:t>
            </w:r>
          </w:p>
        </w:tc>
        <w:tc>
          <w:tcPr>
            <w:tcW w:type="dxa" w:w="3024"/>
          </w:tcPr>
          <w:p>
            <w:r>
              <w:rPr>
                <w:rFonts w:ascii="Times New Roman" w:hAnsi="Times New Roman"/>
                <w:sz w:val="20"/>
              </w:rPr>
              <w:t>TLS 1.2</w:t>
            </w:r>
          </w:p>
        </w:tc>
      </w:tr>
      <w:tr>
        <w:tc>
          <w:tcPr>
            <w:tcW w:type="dxa" w:w="3024"/>
          </w:tcPr>
          <w:p>
            <w:r>
              <w:rPr>
                <w:rFonts w:ascii="Times New Roman" w:hAnsi="Times New Roman"/>
                <w:sz w:val="20"/>
              </w:rPr>
              <w:t>ML-Trainings-Datensätze</w:t>
            </w:r>
          </w:p>
        </w:tc>
        <w:tc>
          <w:tcPr>
            <w:tcW w:type="dxa" w:w="3024"/>
          </w:tcPr>
          <w:p>
            <w:r>
              <w:rPr>
                <w:rFonts w:ascii="Times New Roman" w:hAnsi="Times New Roman"/>
                <w:sz w:val="20"/>
              </w:rPr>
              <w:t>S3-Bucket (shared)</w:t>
            </w:r>
          </w:p>
        </w:tc>
        <w:tc>
          <w:tcPr>
            <w:tcW w:type="dxa" w:w="3024"/>
          </w:tcPr>
          <w:p>
            <w:r>
              <w:rPr>
                <w:rFonts w:ascii="Times New Roman" w:hAnsi="Times New Roman"/>
                <w:sz w:val="20"/>
              </w:rPr>
              <w:t>Ja (S3-SSE)</w:t>
            </w:r>
          </w:p>
        </w:tc>
      </w:tr>
      <w:tr>
        <w:tc>
          <w:tcPr>
            <w:tcW w:type="dxa" w:w="3024"/>
          </w:tcPr>
          <w:p>
            <w:r>
              <w:rPr>
                <w:rFonts w:ascii="Times New Roman" w:hAnsi="Times New Roman"/>
                <w:sz w:val="20"/>
              </w:rPr>
              <w:t>Support-Log-Daten mit Personenbezug</w:t>
            </w:r>
          </w:p>
        </w:tc>
        <w:tc>
          <w:tcPr>
            <w:tcW w:type="dxa" w:w="3024"/>
          </w:tcPr>
          <w:p>
            <w:r>
              <w:rPr>
                <w:rFonts w:ascii="Times New Roman" w:hAnsi="Times New Roman"/>
                <w:sz w:val="20"/>
              </w:rPr>
              <w:t>VPN-Tunnel</w:t>
            </w:r>
          </w:p>
        </w:tc>
        <w:tc>
          <w:tcPr>
            <w:tcW w:type="dxa" w:w="3024"/>
          </w:tcPr>
          <w:p>
            <w:r>
              <w:rPr>
                <w:rFonts w:ascii="Times New Roman" w:hAnsi="Times New Roman"/>
                <w:sz w:val="20"/>
              </w:rPr>
              <w:t>Ja</w:t>
            </w:r>
          </w:p>
        </w:tc>
      </w:tr>
      <w:tr>
        <w:tc>
          <w:tcPr>
            <w:tcW w:type="dxa" w:w="3024"/>
          </w:tcPr>
          <w:p>
            <w:r>
              <w:rPr>
                <w:rFonts w:ascii="Times New Roman" w:hAnsi="Times New Roman"/>
                <w:sz w:val="20"/>
              </w:rPr>
              <w:t>Staging-Datenbankdump (anonymisiert?)</w:t>
            </w:r>
          </w:p>
        </w:tc>
        <w:tc>
          <w:tcPr>
            <w:tcW w:type="dxa" w:w="3024"/>
          </w:tcPr>
          <w:p>
            <w:r>
              <w:rPr>
                <w:rFonts w:ascii="Times New Roman" w:hAnsi="Times New Roman"/>
                <w:sz w:val="20"/>
              </w:rPr>
              <w:t>SFTP</w:t>
            </w:r>
          </w:p>
        </w:tc>
        <w:tc>
          <w:tcPr>
            <w:tcW w:type="dxa" w:w="3024"/>
          </w:tcPr>
          <w:p>
            <w:r>
              <w:rPr>
                <w:rFonts w:ascii="Times New Roman" w:hAnsi="Times New Roman"/>
                <w:sz w:val="20"/>
              </w:rPr>
              <w:t>Nein</w:t>
            </w:r>
          </w:p>
        </w:tc>
      </w:tr>
    </w:tbl>
    <w:p>
      <w:pPr>
        <w:jc w:val="left"/>
      </w:pPr>
      <w:r>
        <w:t>Laut Penetrationstest-Bericht (s. Akte 07) enthielt der Staging-Datenbankdump nicht vollständig anonymisierte Datensätze — eine Re-Identifizierung war technisch möglich.</w:t>
      </w:r>
    </w:p>
    <w:p/>
    <w:p>
      <w:pPr>
        <w:pStyle w:val="Heading2"/>
      </w:pPr>
      <w:r>
        <w:rPr>
          <w:rFonts w:ascii="Times New Roman" w:hAnsi="Times New Roman"/>
        </w:rPr>
        <w:t>2. Rechtsrahmen Drittlandübermittlung</w:t>
      </w:r>
    </w:p>
    <w:p>
      <w:pPr>
        <w:pStyle w:val="Heading3"/>
      </w:pPr>
      <w:r>
        <w:rPr>
          <w:rFonts w:ascii="Times New Roman" w:hAnsi="Times New Roman"/>
        </w:rPr>
        <w:t>2.1 Grundsatz Art. 44 DSGVO</w:t>
      </w:r>
    </w:p>
    <w:p>
      <w:pPr>
        <w:jc w:val="left"/>
      </w:pPr>
      <w:r>
        <w:t>Gemäß Art. 44 DSGVO darf eine Übermittlung personenbezogener Daten, die gerade verarbeitet werden oder nach ihrer Übermittlung in ein Drittland verarbeitet werden sollen, nur erfolgen, wenn der Verantwortliche und der Auftragsverarbeiter die in Kapitel V DSGVO niedergelegten Bedingungen einhalten.</w:t>
      </w:r>
    </w:p>
    <w:p>
      <w:pPr>
        <w:pStyle w:val="Heading3"/>
      </w:pPr>
      <w:r>
        <w:rPr>
          <w:rFonts w:ascii="Times New Roman" w:hAnsi="Times New Roman"/>
        </w:rPr>
        <w:t>2.2 Angemessenheitsbeschluss für Indien?</w:t>
      </w:r>
    </w:p>
    <w:p>
      <w:pPr>
        <w:jc w:val="left"/>
      </w:pPr>
      <w:r>
        <w:rPr>
          <w:b/>
        </w:rPr>
        <w:t>Stand Januar 2026:</w:t>
      </w:r>
      <w:r>
        <w:t xml:space="preserve"> Für Indien existiert kein Angemessenheitsbeschluss der Europäischen Kommission gemäß Art. 45 DSGVO. Das Digital Personal Data Protection Act (DPDPA) Indiens (2023) wurde bislang nicht als gleichwertig mit der DSGVO eingestuft.</w:t>
      </w:r>
    </w:p>
    <w:p>
      <w:pPr>
        <w:jc w:val="left"/>
      </w:pPr>
      <w:r>
        <w:t>Folge: Jede Datenübermittlung nach Indien bedarf geeigneter Garantien gemäß Art. 46 DSGVO.</w:t>
      </w:r>
    </w:p>
    <w:p>
      <w:pPr>
        <w:pStyle w:val="Heading3"/>
      </w:pPr>
      <w:r>
        <w:rPr>
          <w:rFonts w:ascii="Times New Roman" w:hAnsi="Times New Roman"/>
        </w:rPr>
        <w:t>2.3 Geeignete Garantien Art. 46 DSGVO</w:t>
      </w:r>
    </w:p>
    <w:p>
      <w:pPr>
        <w:jc w:val="left"/>
      </w:pPr>
      <w:r>
        <w:t>Mögliche geeignete Garantien: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Garantie</w:t>
            </w:r>
          </w:p>
        </w:tc>
        <w:tc>
          <w:tcPr>
            <w:tcW w:type="dxa" w:w="3024"/>
          </w:tcPr>
          <w:p>
            <w:r>
              <w:rPr>
                <w:rFonts w:ascii="Times New Roman" w:hAnsi="Times New Roman"/>
                <w:b/>
                <w:sz w:val="20"/>
              </w:rPr>
              <w:t>Art. 46 Abs.</w:t>
            </w:r>
          </w:p>
        </w:tc>
        <w:tc>
          <w:tcPr>
            <w:tcW w:type="dxa" w:w="3024"/>
          </w:tcPr>
          <w:p>
            <w:r>
              <w:rPr>
                <w:rFonts w:ascii="Times New Roman" w:hAnsi="Times New Roman"/>
                <w:b/>
                <w:sz w:val="20"/>
              </w:rPr>
              <w:t>Status bei VCS</w:t>
            </w:r>
          </w:p>
        </w:tc>
      </w:tr>
      <w:tr>
        <w:tc>
          <w:tcPr>
            <w:tcW w:type="dxa" w:w="3024"/>
          </w:tcPr>
          <w:p>
            <w:r>
              <w:rPr>
                <w:rFonts w:ascii="Times New Roman" w:hAnsi="Times New Roman"/>
                <w:sz w:val="20"/>
              </w:rPr>
              <w:t>Standarddatenschutzklauseln (SCC) — EU-Kommission 2021</w:t>
            </w:r>
          </w:p>
        </w:tc>
        <w:tc>
          <w:tcPr>
            <w:tcW w:type="dxa" w:w="3024"/>
          </w:tcPr>
          <w:p>
            <w:r>
              <w:rPr>
                <w:rFonts w:ascii="Times New Roman" w:hAnsi="Times New Roman"/>
                <w:sz w:val="20"/>
              </w:rPr>
              <w:t>Abs. 2 lit. c</w:t>
            </w:r>
          </w:p>
        </w:tc>
        <w:tc>
          <w:tcPr>
            <w:tcW w:type="dxa" w:w="3024"/>
          </w:tcPr>
          <w:p>
            <w:r>
              <w:rPr>
                <w:rFonts w:ascii="Times New Roman" w:hAnsi="Times New Roman"/>
                <w:b/>
                <w:sz w:val="20"/>
              </w:rPr>
              <w:t>Nicht abgeschlossen</w:t>
            </w:r>
          </w:p>
        </w:tc>
      </w:tr>
      <w:tr>
        <w:tc>
          <w:tcPr>
            <w:tcW w:type="dxa" w:w="3024"/>
          </w:tcPr>
          <w:p>
            <w:r>
              <w:rPr>
                <w:rFonts w:ascii="Times New Roman" w:hAnsi="Times New Roman"/>
                <w:sz w:val="20"/>
              </w:rPr>
              <w:t>Verbindliche interne Datenschutzvorschriften (BCR)</w:t>
            </w:r>
          </w:p>
        </w:tc>
        <w:tc>
          <w:tcPr>
            <w:tcW w:type="dxa" w:w="3024"/>
          </w:tcPr>
          <w:p>
            <w:r>
              <w:rPr>
                <w:rFonts w:ascii="Times New Roman" w:hAnsi="Times New Roman"/>
                <w:sz w:val="20"/>
              </w:rPr>
              <w:t>Abs. 2 lit. b</w:t>
            </w:r>
          </w:p>
        </w:tc>
        <w:tc>
          <w:tcPr>
            <w:tcW w:type="dxa" w:w="3024"/>
          </w:tcPr>
          <w:p>
            <w:r>
              <w:rPr>
                <w:rFonts w:ascii="Times New Roman" w:hAnsi="Times New Roman"/>
                <w:sz w:val="20"/>
              </w:rPr>
              <w:t>Nicht anwendbar (kein Konzern)</w:t>
            </w:r>
          </w:p>
        </w:tc>
      </w:tr>
      <w:tr>
        <w:tc>
          <w:tcPr>
            <w:tcW w:type="dxa" w:w="3024"/>
          </w:tcPr>
          <w:p>
            <w:r>
              <w:rPr>
                <w:rFonts w:ascii="Times New Roman" w:hAnsi="Times New Roman"/>
                <w:sz w:val="20"/>
              </w:rPr>
              <w:t>Genehmigter Verhaltenskodex mit Zusatzmassnahmen</w:t>
            </w:r>
          </w:p>
        </w:tc>
        <w:tc>
          <w:tcPr>
            <w:tcW w:type="dxa" w:w="3024"/>
          </w:tcPr>
          <w:p>
            <w:r>
              <w:rPr>
                <w:rFonts w:ascii="Times New Roman" w:hAnsi="Times New Roman"/>
                <w:sz w:val="20"/>
              </w:rPr>
              <w:t>Abs. 2 lit. e</w:t>
            </w:r>
          </w:p>
        </w:tc>
        <w:tc>
          <w:tcPr>
            <w:tcW w:type="dxa" w:w="3024"/>
          </w:tcPr>
          <w:p>
            <w:r>
              <w:rPr>
                <w:rFonts w:ascii="Times New Roman" w:hAnsi="Times New Roman"/>
                <w:sz w:val="20"/>
              </w:rPr>
              <w:t>Nicht vorhanden</w:t>
            </w:r>
          </w:p>
        </w:tc>
      </w:tr>
      <w:tr>
        <w:tc>
          <w:tcPr>
            <w:tcW w:type="dxa" w:w="3024"/>
          </w:tcPr>
          <w:p>
            <w:r>
              <w:rPr>
                <w:rFonts w:ascii="Times New Roman" w:hAnsi="Times New Roman"/>
                <w:sz w:val="20"/>
              </w:rPr>
              <w:t>Zertifizierung mit verbindlichen Verpflichtungen</w:t>
            </w:r>
          </w:p>
        </w:tc>
        <w:tc>
          <w:tcPr>
            <w:tcW w:type="dxa" w:w="3024"/>
          </w:tcPr>
          <w:p>
            <w:r>
              <w:rPr>
                <w:rFonts w:ascii="Times New Roman" w:hAnsi="Times New Roman"/>
                <w:sz w:val="20"/>
              </w:rPr>
              <w:t>Abs. 2 lit. f</w:t>
            </w:r>
          </w:p>
        </w:tc>
        <w:tc>
          <w:tcPr>
            <w:tcW w:type="dxa" w:w="3024"/>
          </w:tcPr>
          <w:p>
            <w:r>
              <w:rPr>
                <w:rFonts w:ascii="Times New Roman" w:hAnsi="Times New Roman"/>
                <w:sz w:val="20"/>
              </w:rPr>
              <w:t>Nicht vorhanden</w:t>
            </w:r>
          </w:p>
        </w:tc>
      </w:tr>
      <w:tr>
        <w:tc>
          <w:tcPr>
            <w:tcW w:type="dxa" w:w="3024"/>
          </w:tcPr>
          <w:p>
            <w:r>
              <w:rPr>
                <w:rFonts w:ascii="Times New Roman" w:hAnsi="Times New Roman"/>
                <w:sz w:val="20"/>
              </w:rPr>
              <w:t>Ad-hoc-Vertragsklauseln (Genehmigung LDI)</w:t>
            </w:r>
          </w:p>
        </w:tc>
        <w:tc>
          <w:tcPr>
            <w:tcW w:type="dxa" w:w="3024"/>
          </w:tcPr>
          <w:p>
            <w:r>
              <w:rPr>
                <w:rFonts w:ascii="Times New Roman" w:hAnsi="Times New Roman"/>
                <w:sz w:val="20"/>
              </w:rPr>
              <w:t>Abs. 3</w:t>
            </w:r>
          </w:p>
        </w:tc>
        <w:tc>
          <w:tcPr>
            <w:tcW w:type="dxa" w:w="3024"/>
          </w:tcPr>
          <w:p>
            <w:r>
              <w:rPr>
                <w:rFonts w:ascii="Times New Roman" w:hAnsi="Times New Roman"/>
                <w:sz w:val="20"/>
              </w:rPr>
              <w:t>Nicht beantragt</w:t>
            </w:r>
          </w:p>
        </w:tc>
      </w:tr>
    </w:tbl>
    <w:p>
      <w:pPr>
        <w:jc w:val="left"/>
      </w:pPr>
      <w:r>
        <w:rPr>
          <w:b/>
        </w:rPr>
        <w:t>Ergebnis:</w:t>
      </w:r>
      <w:r>
        <w:t xml:space="preserve"> Keine der möglichen Garantien wurde implementiert. Die Datenübermittlung an Sundara Tech erfolgte seit Oktober 2022 ohne Rechtsgrundlage nach Kapitel V DSGVO.</w:t>
      </w:r>
    </w:p>
    <w:p/>
    <w:p>
      <w:pPr>
        <w:pStyle w:val="Heading2"/>
      </w:pPr>
      <w:r>
        <w:rPr>
          <w:rFonts w:ascii="Times New Roman" w:hAnsi="Times New Roman"/>
        </w:rPr>
        <w:t>3. Zusätzliche Anforderungen an SCC (EDSA-Empfehlung 01/2020)</w:t>
      </w:r>
    </w:p>
    <w:p>
      <w:pPr>
        <w:jc w:val="left"/>
      </w:pPr>
      <w:r>
        <w:t>Selbst bei Abschluss von SCC wäre nach der Schrems-II-Rechtsprechung (EuGH C-311/18 — Schrems II) eine Transferfolgenabschaetzung (Transfer Impact Assessment, TIA) erforderlich, da das Rechtssystem des Empfängerlandes (Indien) auf seine Eignung bewertet werden muss.</w:t>
      </w:r>
    </w:p>
    <w:p>
      <w:pPr>
        <w:pStyle w:val="Heading3"/>
      </w:pPr>
      <w:r>
        <w:rPr>
          <w:rFonts w:ascii="Times New Roman" w:hAnsi="Times New Roman"/>
        </w:rPr>
        <w:t>3.1 Rechtslage Indien (TIA-Punkte)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Prüfkriterium</w:t>
            </w:r>
          </w:p>
        </w:tc>
        <w:tc>
          <w:tcPr>
            <w:tcW w:type="dxa" w:w="4536"/>
          </w:tcPr>
          <w:p>
            <w:r>
              <w:rPr>
                <w:rFonts w:ascii="Times New Roman" w:hAnsi="Times New Roman"/>
                <w:b/>
                <w:sz w:val="20"/>
              </w:rPr>
              <w:t>Bewertung</w:t>
            </w:r>
          </w:p>
        </w:tc>
      </w:tr>
      <w:tr>
        <w:tc>
          <w:tcPr>
            <w:tcW w:type="dxa" w:w="4536"/>
          </w:tcPr>
          <w:p>
            <w:r>
              <w:rPr>
                <w:rFonts w:ascii="Times New Roman" w:hAnsi="Times New Roman"/>
                <w:sz w:val="20"/>
              </w:rPr>
              <w:t>Geheimdienstzugriff auf Daten</w:t>
            </w:r>
          </w:p>
        </w:tc>
        <w:tc>
          <w:tcPr>
            <w:tcW w:type="dxa" w:w="4536"/>
          </w:tcPr>
          <w:p>
            <w:r>
              <w:rPr>
                <w:rFonts w:ascii="Times New Roman" w:hAnsi="Times New Roman"/>
                <w:sz w:val="20"/>
              </w:rPr>
              <w:t>Potenziell gegeben (Section 69 IT Act)</w:t>
            </w:r>
          </w:p>
        </w:tc>
      </w:tr>
      <w:tr>
        <w:tc>
          <w:tcPr>
            <w:tcW w:type="dxa" w:w="4536"/>
          </w:tcPr>
          <w:p>
            <w:r>
              <w:rPr>
                <w:rFonts w:ascii="Times New Roman" w:hAnsi="Times New Roman"/>
                <w:sz w:val="20"/>
              </w:rPr>
              <w:t>Rechtsstaatlichkeit bei Datenschutz</w:t>
            </w:r>
          </w:p>
        </w:tc>
        <w:tc>
          <w:tcPr>
            <w:tcW w:type="dxa" w:w="4536"/>
          </w:tcPr>
          <w:p>
            <w:r>
              <w:rPr>
                <w:rFonts w:ascii="Times New Roman" w:hAnsi="Times New Roman"/>
                <w:sz w:val="20"/>
              </w:rPr>
              <w:t>Teilweise (DPDPA 2023, noch nicht vollständig in Kraft)</w:t>
            </w:r>
          </w:p>
        </w:tc>
      </w:tr>
      <w:tr>
        <w:tc>
          <w:tcPr>
            <w:tcW w:type="dxa" w:w="4536"/>
          </w:tcPr>
          <w:p>
            <w:r>
              <w:rPr>
                <w:rFonts w:ascii="Times New Roman" w:hAnsi="Times New Roman"/>
                <w:sz w:val="20"/>
              </w:rPr>
              <w:t>Effektive Rechtsbehelfe</w:t>
            </w:r>
          </w:p>
        </w:tc>
        <w:tc>
          <w:tcPr>
            <w:tcW w:type="dxa" w:w="4536"/>
          </w:tcPr>
          <w:p>
            <w:r>
              <w:rPr>
                <w:rFonts w:ascii="Times New Roman" w:hAnsi="Times New Roman"/>
                <w:sz w:val="20"/>
              </w:rPr>
              <w:t>Eingeschränkt (kein EuGH-Äquivalent)</w:t>
            </w:r>
          </w:p>
        </w:tc>
      </w:tr>
      <w:tr>
        <w:tc>
          <w:tcPr>
            <w:tcW w:type="dxa" w:w="4536"/>
          </w:tcPr>
          <w:p>
            <w:r>
              <w:rPr>
                <w:rFonts w:ascii="Times New Roman" w:hAnsi="Times New Roman"/>
                <w:sz w:val="20"/>
              </w:rPr>
              <w:t>Unabhängige Aufsicht</w:t>
            </w:r>
          </w:p>
        </w:tc>
        <w:tc>
          <w:tcPr>
            <w:tcW w:type="dxa" w:w="4536"/>
          </w:tcPr>
          <w:p>
            <w:r>
              <w:rPr>
                <w:rFonts w:ascii="Times New Roman" w:hAnsi="Times New Roman"/>
                <w:sz w:val="20"/>
              </w:rPr>
              <w:t>DPBI (Data Protection Board of India) — noch nicht voll operativ</w:t>
            </w:r>
          </w:p>
        </w:tc>
      </w:tr>
    </w:tbl>
    <w:p>
      <w:pPr>
        <w:jc w:val="left"/>
      </w:pPr>
      <w:r>
        <w:rPr>
          <w:b/>
        </w:rPr>
        <w:t>Ergebnis TIA:</w:t>
      </w:r>
      <w:r>
        <w:t xml:space="preserve"> Erhöhte Risiken; Zusatzmassnahmen erforderlich (End-to-End-Verschlüsselung, Pseudonymisierung vor Transfer).</w:t>
      </w:r>
    </w:p>
    <w:p/>
    <w:p>
      <w:pPr>
        <w:pStyle w:val="Heading2"/>
      </w:pPr>
      <w:r>
        <w:rPr>
          <w:rFonts w:ascii="Times New Roman" w:hAnsi="Times New Roman"/>
        </w:rPr>
        <w:t>4. Bewertung des HinSchG-Hinweises</w:t>
      </w:r>
    </w:p>
    <w:p>
      <w:pPr>
        <w:jc w:val="left"/>
      </w:pPr>
      <w:r>
        <w:t>Die anonyme HinSchG-Meldung vom 08.11.2025 thematisiert explizit den fehlenden SCC-Abschluss. Der Hinweisgeber — vermutlich ein ehemaliger DevOps-Mitarbeiter — beschreibt den Sachverhalt detailliert und zutreffend.</w:t>
      </w:r>
    </w:p>
    <w:p>
      <w:pPr>
        <w:jc w:val="left"/>
      </w:pPr>
      <w:r>
        <w:rPr>
          <w:b/>
        </w:rPr>
        <w:t>Rechtliche Bewertung der VCS-Reaktion:</w:t>
      </w:r>
    </w:p>
    <w:p>
      <w:pPr>
        <w:pStyle w:val="ListBullet"/>
      </w:pPr>
      <w:r>
        <w:t>Die Meldung wurde laut interner Dokumentation als „nicht pruefrelevant" eingestuft und nicht weitergeleitet</w:t>
      </w:r>
    </w:p>
    <w:p>
      <w:pPr>
        <w:pStyle w:val="ListBullet"/>
      </w:pPr>
      <w:r>
        <w:t>Versäumnis der Bearbeitung einer HinSchG-Meldung stellt eine Pflichtverletzung nach § 14 HinSchG dar</w:t>
      </w:r>
    </w:p>
    <w:p>
      <w:pPr>
        <w:pStyle w:val="ListBullet"/>
      </w:pPr>
      <w:r>
        <w:t>Kein Rueckmeldefristversaeumnis nach § 17 HinSchG: Keine Rückmeldung an Hinweisgeber innerhalb von 3 Monaten</w:t>
      </w:r>
    </w:p>
    <w:p/>
    <w:p>
      <w:pPr>
        <w:pStyle w:val="Heading2"/>
      </w:pPr>
      <w:r>
        <w:rPr>
          <w:rFonts w:ascii="Times New Roman" w:hAnsi="Times New Roman"/>
        </w:rPr>
        <w:t>5. Ordnungswidrigkeitenrechtliche Bewertung</w:t>
      </w:r>
    </w:p>
    <w:p>
      <w:pPr>
        <w:jc w:val="left"/>
      </w:pPr>
      <w:r>
        <w:t>Der Verstoss gegen Art. 44 ff. DSGVO ist gemäß Art. 83 Abs. 5 lit. c DSGVO eine schwerwiegende Ordnungswidrigkeit (Bussgeld bis 20.000.000 EUR oder 4% des weltweiten Jahresumsatzes).</w:t>
      </w:r>
    </w:p>
    <w:p>
      <w:pPr>
        <w:jc w:val="left"/>
      </w:pPr>
      <w:r>
        <w:t>Nach dem EuGH-Urteil C-311/18 (Schrems II, 16.07.2020) und dem darauf basierenden EuGH-Urteil C-645/19 (Facebook Ireland, 15.06.2021) ist die Aufsichtsbehörde bei Kenntnis eines solchen Verstosses verpflichtet, die Übermittlung zu untersagen und Sanktionen zu verhängen.</w:t>
      </w:r>
    </w:p>
    <w:p/>
    <w:p>
      <w:pPr>
        <w:pStyle w:val="Heading2"/>
      </w:pPr>
      <w:r>
        <w:rPr>
          <w:rFonts w:ascii="Times New Roman" w:hAnsi="Times New Roman"/>
        </w:rPr>
        <w:t>6. Sanierungsplan Drittlandtransfer</w:t>
      </w:r>
    </w:p>
    <w:p>
      <w:pPr>
        <w:pStyle w:val="Heading3"/>
      </w:pPr>
      <w:r>
        <w:rPr>
          <w:rFonts w:ascii="Times New Roman" w:hAnsi="Times New Roman"/>
        </w:rPr>
        <w:t>Sofortmassnahmen (bis 31.01.2026)</w:t>
      </w:r>
    </w:p>
    <w:p>
      <w:pPr>
        <w:pStyle w:val="ListNumber"/>
      </w:pPr>
      <w:r>
        <w:rPr>
          <w:b/>
        </w:rPr>
        <w:t>Datentransfer-Stop</w:t>
      </w:r>
      <w:r>
        <w:t xml:space="preserve"> — Keine weiteren Datenübermittlungen an Sundara Tech bis zur SCC-Implementierung</w:t>
      </w:r>
    </w:p>
    <w:p>
      <w:pPr>
        <w:pStyle w:val="ListNumber"/>
      </w:pPr>
      <w:r>
        <w:rPr>
          <w:b/>
        </w:rPr>
        <w:t>Löschung Staging-Datenbankdumps</w:t>
      </w:r>
      <w:r>
        <w:t xml:space="preserve"> bei Sundara Tech — nachweislich dokumentiert</w:t>
      </w:r>
    </w:p>
    <w:p>
      <w:pPr>
        <w:pStyle w:val="ListNumber"/>
      </w:pPr>
      <w:r>
        <w:rPr>
          <w:b/>
        </w:rPr>
        <w:t>Verschlüsselung sämtlicher API-Calls</w:t>
      </w:r>
      <w:r>
        <w:t xml:space="preserve"> auf TLS 1.3 angehoben</w:t>
      </w:r>
    </w:p>
    <w:p>
      <w:pPr>
        <w:pStyle w:val="Heading3"/>
      </w:pPr>
      <w:r>
        <w:rPr>
          <w:rFonts w:ascii="Times New Roman" w:hAnsi="Times New Roman"/>
        </w:rPr>
        <w:t>Mittelfristige Massnahmen (bis 28.02.2026)</w:t>
      </w:r>
    </w:p>
    <w:p>
      <w:pPr>
        <w:pStyle w:val="ListNumber"/>
      </w:pPr>
      <w:r>
        <w:rPr>
          <w:b/>
        </w:rPr>
        <w:t>SCC-Abschluss</w:t>
      </w:r>
      <w:r>
        <w:t xml:space="preserve"> gemäß EU-Kommissionsbeschluss 2021/914 (Modul 2: Controller-to-Processor)</w:t>
      </w:r>
    </w:p>
    <w:p>
      <w:pPr>
        <w:pStyle w:val="ListNumber"/>
      </w:pPr>
      <w:r>
        <w:rPr>
          <w:b/>
        </w:rPr>
        <w:t>Transfer Impact Assessment (TIA)</w:t>
      </w:r>
      <w:r>
        <w:t xml:space="preserve"> für Indien mit externer Expertise (RA Kanzlei Mehta &amp; Associates, Mumbai)</w:t>
      </w:r>
    </w:p>
    <w:p>
      <w:pPr>
        <w:pStyle w:val="ListNumber"/>
      </w:pPr>
      <w:r>
        <w:rPr>
          <w:b/>
        </w:rPr>
        <w:t>Pseudonymisierungsprotokoll</w:t>
      </w:r>
      <w:r>
        <w:t xml:space="preserve"> für ML-Trainingsdaten vor Weitergabe an Sundara Tech</w:t>
      </w:r>
    </w:p>
    <w:p>
      <w:pPr>
        <w:pStyle w:val="ListNumber"/>
      </w:pPr>
      <w:r>
        <w:rPr>
          <w:b/>
        </w:rPr>
        <w:t>Update AVV</w:t>
      </w:r>
      <w:r>
        <w:t xml:space="preserve"> — Einbeziehung der SCC-Konformitätsanforderungen</w:t>
      </w:r>
    </w:p>
    <w:p/>
    <w:p>
      <w:pPr>
        <w:pStyle w:val="Heading2"/>
      </w:pPr>
      <w:r>
        <w:rPr>
          <w:rFonts w:ascii="Times New Roman" w:hAnsi="Times New Roman"/>
        </w:rPr>
        <w:t>7. Stellungnahme gegenüber LDI NRW</w:t>
      </w:r>
    </w:p>
    <w:p>
      <w:pPr>
        <w:jc w:val="left"/>
      </w:pPr>
      <w:r>
        <w:t>Im Rahmen des Aufsichtsverfahrens DSB-NW-44/26 wird VCS folgende Position einnehmen:</w:t>
      </w:r>
    </w:p>
    <w:p>
      <w:pPr>
        <w:pStyle w:val="ListBullet"/>
      </w:pPr>
      <w:r>
        <w:t>Einräumen des Verstosses mit Verweis auf Sanierungsplan</w:t>
      </w:r>
    </w:p>
    <w:p>
      <w:pPr>
        <w:pStyle w:val="ListBullet"/>
      </w:pPr>
      <w:r>
        <w:t>Begrenzung des Bussgelds durch Hinweis auf:</w:t>
      </w:r>
    </w:p>
    <w:p>
      <w:pPr>
        <w:pStyle w:val="ListBullet"/>
      </w:pPr>
      <w:r>
        <w:t>Freiwillige Offenlegung (Art. 83 Abs. 2 lit. e DSGVO)</w:t>
      </w:r>
    </w:p>
    <w:p>
      <w:pPr>
        <w:pStyle w:val="ListBullet"/>
      </w:pPr>
      <w:r>
        <w:t>Kooperationsbereitschaft (Art. 83 Abs. 2 lit. f DSGVO)</w:t>
      </w:r>
    </w:p>
    <w:p>
      <w:pPr>
        <w:pStyle w:val="ListBullet"/>
      </w:pPr>
      <w:r>
        <w:t>Kein vorsätzliches Handeln (Art. 83 Abs. 2 lit. b DSGVO — blosse Unkenntnis der SCC-Pflicht)</w:t>
      </w:r>
    </w:p>
    <w:p>
      <w:pPr>
        <w:pStyle w:val="ListBullet"/>
      </w:pPr>
      <w:r>
        <w:t>Umsatz des KMU (Art. 83 Abs. 2 DSGVO — wirtschaftliche Lage)</w:t>
      </w:r>
    </w:p>
    <w:p/>
    <w:p>
      <w:pPr>
        <w:pStyle w:val="Heading2"/>
      </w:pPr>
      <w:r>
        <w:rPr>
          <w:rFonts w:ascii="Times New Roman" w:hAnsi="Times New Roman"/>
        </w:rPr>
        <w:t>Quellen</w:t>
      </w:r>
    </w:p>
    <w:p>
      <w:pPr>
        <w:pStyle w:val="ListBullet"/>
      </w:pPr>
      <w:r>
        <w:t>DSGVO Art. 44, 45, 46, 83 — dejure.org/gesetze/DSGVO</w:t>
      </w:r>
    </w:p>
    <w:p>
      <w:pPr>
        <w:pStyle w:val="ListBullet"/>
      </w:pPr>
      <w:r>
        <w:t>EuGH C-311/18 (Schrems II), Urt. v. 16.07.2020 — eur-lex.europa.eu</w:t>
      </w:r>
    </w:p>
    <w:p>
      <w:pPr>
        <w:pStyle w:val="ListBullet"/>
      </w:pPr>
      <w:r>
        <w:t>EU-Kommissionsbeschluss 2021/914 (SCC) — eur-lex.europa.eu</w:t>
      </w:r>
    </w:p>
    <w:p>
      <w:pPr>
        <w:pStyle w:val="ListBullet"/>
      </w:pPr>
      <w:r>
        <w:t>EDSA-Empfehlung 01/2020 (Zusatzmassnahmen) — edpb.europa.eu</w:t>
      </w:r>
    </w:p>
    <w:p>
      <w:pPr>
        <w:pStyle w:val="ListBullet"/>
      </w:pPr>
      <w:r>
        <w:t>HinSchG §§ 14, 17 — dejure.org/gesetze/HinSchG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