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— Bussgeldbemessung nach Art. 83 DSGVO</w:t>
      </w:r>
    </w:p>
    <w:p>
      <w:pPr>
        <w:jc w:val="left"/>
      </w:pPr>
      <w:r>
        <w:rPr>
          <w:b/>
        </w:rPr>
        <w:t>Aktenzeichen:</w:t>
      </w:r>
      <w:r>
        <w:t xml:space="preserve"> DSB-NW-44/26</w:t>
      </w:r>
    </w:p>
    <w:p>
      <w:pPr>
        <w:jc w:val="left"/>
      </w:pPr>
      <w:r>
        <w:rPr>
          <w:b/>
        </w:rPr>
        <w:t>Bearbeiter:</w:t>
      </w:r>
      <w:r>
        <w:t xml:space="preserve"> RA Dr. Cornelius Specht</w:t>
      </w:r>
    </w:p>
    <w:p>
      <w:pPr>
        <w:jc w:val="left"/>
      </w:pPr>
      <w:r>
        <w:rPr>
          <w:b/>
        </w:rPr>
        <w:t>Datum:</w:t>
      </w:r>
      <w:r>
        <w:t xml:space="preserve"> 22. Januar 2026</w:t>
      </w:r>
    </w:p>
    <w:p>
      <w:pPr>
        <w:jc w:val="left"/>
      </w:pPr>
      <w:r>
        <w:rPr>
          <w:b/>
        </w:rPr>
        <w:t>Betreff:</w:t>
      </w:r>
      <w:r>
        <w:t xml:space="preserve"> Analyse der Bussgeldbemessung und Minimierungsstrategie</w:t>
      </w:r>
    </w:p>
    <w:p/>
    <w:p>
      <w:pPr>
        <w:pStyle w:val="Heading2"/>
      </w:pPr>
      <w:r>
        <w:rPr>
          <w:rFonts w:ascii="Times New Roman" w:hAnsi="Times New Roman"/>
        </w:rPr>
        <w:t>1. Rechtsrahmen Art. 83 DSGVO</w:t>
      </w:r>
    </w:p>
    <w:p>
      <w:pPr>
        <w:jc w:val="left"/>
      </w:pPr>
      <w:r>
        <w:t>Art. 83 DSGVO sieht ein zweistufiges Sanktionssystem vor:</w:t>
      </w:r>
    </w:p>
    <w:p>
      <w:pPr>
        <w:jc w:val="left"/>
      </w:pPr>
      <w:r>
        <w:rPr>
          <w:b/>
        </w:rPr>
        <w:t>Stufe 1 — Art. 83 Abs. 4 DSGVO:</w:t>
      </w:r>
      <w:r>
        <w:t xml:space="preserve"> Geldbussen bis 10.000.000 EUR oder bis 2% des weltweiten Jahresumsatzes (je nachdem, welcher Betrag höher ist) für Verstoesse gegen Pflichten des Verantwortlichen und des Auftragsverarbeiters (Art. 8, 11, 25–39, 42, 43 DSGVO) sowie gegen Aufsichtsbehörden-Anordnungen (Art. 58 Abs. 2 DSGVO).</w:t>
      </w:r>
    </w:p>
    <w:p>
      <w:pPr>
        <w:jc w:val="left"/>
      </w:pPr>
      <w:r>
        <w:rPr>
          <w:b/>
        </w:rPr>
        <w:t>Stufe 2 — Art. 83 Abs. 5 DSGVO:</w:t>
      </w:r>
      <w:r>
        <w:t xml:space="preserve"> Geldbussen bis 20.000.000 EUR oder bis 4% des weltweiten Jahresumsatzes (je nachdem, welcher Betrag höher ist) für Grundsatzverstoesse (Art. 5, 6, 7, 9, 12–22, 44–49, 58 DSGVO).</w:t>
      </w:r>
    </w:p>
    <w:p>
      <w:pPr>
        <w:pStyle w:val="Heading3"/>
      </w:pPr>
      <w:r>
        <w:rPr>
          <w:rFonts w:ascii="Times New Roman" w:hAnsi="Times New Roman"/>
        </w:rPr>
        <w:t>1.1 Anwendbarer Bussgelder-Katalog für VCS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Verstoss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Sanktionsstufe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Bussgeldbetrag-Maximum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6 — fehlende Verarbeitungsgrundlage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83 Abs. 5 lit. 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20.000.000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22 — unzulässige automatisierte Entscheidung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83 Abs. 5 lit. 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20.000.000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33 — versäumte Datenpannenmeldung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83 Abs. 4 lit. 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10.000.000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35 — unterlassene DSFA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83 Abs. 4 lit. 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10.000.000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44 — Drittlandtransfer ohne SCC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83 Abs. 5 lit. 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20.000.000 EUR</w:t>
            </w:r>
          </w:p>
        </w:tc>
      </w:tr>
    </w:tbl>
    <w:p>
      <w:pPr>
        <w:jc w:val="left"/>
      </w:pPr>
      <w:r>
        <w:rPr>
          <w:b/>
        </w:rPr>
        <w:t>Kumulationsregel Art. 83 Abs. 3 DSGVO:</w:t>
      </w:r>
      <w:r>
        <w:t xml:space="preserve"> Beziehen sich mehrere Verstoesse auf dieselbe oder miteinander verbundene Verarbeitungsvorgänge, so ist die Geldbusse insgesamt auf den für den schwersten Verstoss geltenden Betrag zu begrenzen.</w:t>
      </w:r>
    </w:p>
    <w:p>
      <w:pPr>
        <w:jc w:val="left"/>
      </w:pPr>
      <w:r>
        <w:rPr>
          <w:b/>
        </w:rPr>
        <w:t>Massgeblicher Höchstbetrag:</w:t>
      </w:r>
      <w:r>
        <w:t xml:space="preserve"> 20.000.000 EUR (Art. 83 Abs. 5 DSGVO — schwerste Verstoesse).</w:t>
      </w:r>
    </w:p>
    <w:p/>
    <w:p>
      <w:pPr>
        <w:pStyle w:val="Heading2"/>
      </w:pPr>
      <w:r>
        <w:rPr>
          <w:rFonts w:ascii="Times New Roman" w:hAnsi="Times New Roman"/>
        </w:rPr>
        <w:t>2. EDSA-Leitlinien 04/2022: Bussgeldberechnungsmethodik</w:t>
      </w:r>
    </w:p>
    <w:p>
      <w:pPr>
        <w:jc w:val="left"/>
      </w:pPr>
      <w:r>
        <w:t>Der EDSA hat in den Leitlinien 04/2022 zur Berechnung von Geldbussen eine fuenfstufige Methode veroffentlicht:</w:t>
      </w:r>
    </w:p>
    <w:p>
      <w:pPr>
        <w:jc w:val="left"/>
      </w:pPr>
      <w:r>
        <w:rPr>
          <w:b/>
        </w:rPr>
        <w:t>Schritt 1 — Identifizierung der Verarbeitungsvorgänge und sanktionierbaren Verstoesse</w:t>
      </w:r>
    </w:p>
    <w:p>
      <w:pPr>
        <w:jc w:val="left"/>
      </w:pPr>
      <w:r>
        <w:t>Fünf Verstoesse identifiziert (s. Tabelle oben). Ausgangspunkt: Schwerwiegendster Verstoss (Art. 5/6 DSGVO).</w:t>
      </w:r>
    </w:p>
    <w:p>
      <w:pPr>
        <w:jc w:val="left"/>
      </w:pPr>
      <w:r>
        <w:rPr>
          <w:b/>
        </w:rPr>
        <w:t>Schritt 2 — Ausgangsbetrag anhand der Schwere (Art. 83 Abs. 2 lit. a)</w:t>
      </w:r>
    </w:p>
    <w:p>
      <w:pPr>
        <w:jc w:val="left"/>
      </w:pPr>
      <w:r>
        <w:t>Gemäß EDSA-Leitlinien 04/2022, Rn. 56: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Schwere-Kategorie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Ausgangspunkt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Spanne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Geringfügig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0% bis 10% des Maximalbetrags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2.000.000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Mittelschwer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10% bis 20% des Maximalbetrags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2.000.000 bis 4.000.000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Schwer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20% bis 100% des Maximalbetrags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4.000.000 bis 20.000.000 EUR</w:t>
            </w:r>
          </w:p>
        </w:tc>
      </w:tr>
    </w:tbl>
    <w:p>
      <w:pPr>
        <w:jc w:val="left"/>
      </w:pPr>
      <w:r>
        <w:t xml:space="preserve">Bewertung des Hauptverstosses (Art. 6 DSGVO / Art. 22 DSGVO): </w:t>
      </w:r>
      <w:r>
        <w:rPr>
          <w:b/>
        </w:rPr>
        <w:t>Schwer</w:t>
      </w:r>
      <w:r>
        <w:t xml:space="preserve"> (systematisches Massenscanning, 142.300 Betroffene, 3 Jahre).</w:t>
      </w:r>
    </w:p>
    <w:p>
      <w:pPr>
        <w:jc w:val="left"/>
      </w:pPr>
      <w:r>
        <w:rPr>
          <w:b/>
        </w:rPr>
        <w:t>Ausgangsbetrag:</w:t>
      </w:r>
      <w:r>
        <w:t xml:space="preserve"> Ca. 30% des Maximalbetrags = 6.000.000 EUR (Schätzung).</w:t>
      </w:r>
    </w:p>
    <w:p>
      <w:pPr>
        <w:jc w:val="left"/>
      </w:pPr>
      <w:r>
        <w:rPr>
          <w:b/>
        </w:rPr>
        <w:t>Schritt 3 — Erschwerungsgruende (Art. 83 Abs. 2 lit. a–k)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Erschwerungsgrund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Art. 83 Abs.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Anwendbar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Auswirkung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Vorsatz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lit. 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Unklar (GF-Wissen bei § 42 BDSG)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+10-20%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Dauer des Verstosses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lit. 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(3 Jahre)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+15%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Anzahl Betroffener (142.300)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lit. 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+10%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Sensitive Datenkategorien (Schufa)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lit. 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+10%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Versäumte Meldung Art. 33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lit. 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+5%</w:t>
            </w:r>
          </w:p>
        </w:tc>
      </w:tr>
    </w:tbl>
    <w:p>
      <w:pPr>
        <w:jc w:val="left"/>
      </w:pPr>
      <w:r>
        <w:rPr>
          <w:b/>
        </w:rPr>
        <w:t>Gesamterhoeung:</w:t>
      </w:r>
      <w:r>
        <w:t xml:space="preserve"> Ca. +50% auf Ausgangsbetrag = 9.000.000 EUR.</w:t>
      </w:r>
    </w:p>
    <w:p>
      <w:pPr>
        <w:jc w:val="left"/>
      </w:pPr>
      <w:r>
        <w:rPr>
          <w:b/>
        </w:rPr>
        <w:t>Schritt 4 — Milderungsgründe (Art. 83 Abs.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Milderungsgrund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Art. 83 Abs.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Anwendbar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Auswirkung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Erste Verurteilung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lit. 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-10%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Kooperationsbereitschaft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lit. 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-15%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KMU (38 MA, ca. 4 Mio. EUR Umsatz)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Berücksichtigung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-20%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Nachträgliche Sanierungsmassnahmen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lit. 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-5%</w:t>
            </w:r>
          </w:p>
        </w:tc>
      </w:tr>
    </w:tbl>
    <w:p>
      <w:pPr>
        <w:jc w:val="left"/>
      </w:pPr>
      <w:r>
        <w:rPr>
          <w:b/>
        </w:rPr>
        <w:t>Gesamtreduktion:</w:t>
      </w:r>
      <w:r>
        <w:t xml:space="preserve"> -50% auf erhöhten Betrag = 4.500.000 EUR.</w:t>
      </w:r>
    </w:p>
    <w:p>
      <w:pPr>
        <w:jc w:val="left"/>
      </w:pPr>
      <w:r>
        <w:rPr>
          <w:b/>
        </w:rPr>
        <w:t>Schritt 5 — Priorisierung und Höchstbetragscheck</w:t>
      </w:r>
    </w:p>
    <w:p>
      <w:pPr>
        <w:jc w:val="left"/>
      </w:pPr>
      <w:r>
        <w:t>Endkalkulation: ca. 4.500.000 EUR. Unter 20 Mio. EUR-Grenze. Aber: Wirtschaftliche Tragfähigkeit prüfen.</w:t>
      </w:r>
    </w:p>
    <w:p>
      <w:pPr>
        <w:jc w:val="left"/>
      </w:pPr>
      <w:r>
        <w:rPr>
          <w:b/>
        </w:rPr>
        <w:t>VCS-Kennzahlen:</w:t>
      </w:r>
    </w:p>
    <w:p>
      <w:pPr>
        <w:pStyle w:val="ListBullet"/>
      </w:pPr>
      <w:r>
        <w:t>Jahresumsatz ca. 4.000.000 EUR</w:t>
      </w:r>
    </w:p>
    <w:p>
      <w:pPr>
        <w:pStyle w:val="ListBullet"/>
      </w:pPr>
      <w:r>
        <w:t>4%-Grenze: 160.000 EUR</w:t>
      </w:r>
    </w:p>
    <w:p>
      <w:pPr>
        <w:pStyle w:val="ListBullet"/>
      </w:pPr>
      <w:r>
        <w:t>Bussgeld von 4.500.000 EUR entspricht 112% des Jahresumsatzes — existenzbedrohend</w:t>
      </w:r>
    </w:p>
    <w:p>
      <w:pPr>
        <w:jc w:val="left"/>
      </w:pPr>
      <w:r>
        <w:rPr>
          <w:b/>
        </w:rPr>
        <w:t>Verhaeltnismaessigkeitspruefung:</w:t>
      </w:r>
      <w:r>
        <w:t xml:space="preserve"> Nach EuGH C-807/21 (Deutsche Wohnen, 05.12.2023) muss das Bussgeld wirksam, verhaeltnismaessig und abschreckend sein. Ein Bussgeld, das die wirtschaftliche Existenz des Unternehmens vernichtet, kann im Einzelfall unverhaeAltnismaessig sein.</w:t>
      </w:r>
    </w:p>
    <w:p/>
    <w:p>
      <w:pPr>
        <w:pStyle w:val="Heading2"/>
      </w:pPr>
      <w:r>
        <w:rPr>
          <w:rFonts w:ascii="Times New Roman" w:hAnsi="Times New Roman"/>
        </w:rPr>
        <w:t>3. Argumentation zur Bussgeldminimierung</w:t>
      </w:r>
    </w:p>
    <w:p>
      <w:pPr>
        <w:pStyle w:val="Heading3"/>
      </w:pPr>
      <w:r>
        <w:rPr>
          <w:rFonts w:ascii="Times New Roman" w:hAnsi="Times New Roman"/>
        </w:rPr>
        <w:t>3.1 Hauptargumente</w:t>
      </w:r>
    </w:p>
    <w:p>
      <w:pPr>
        <w:jc w:val="left"/>
      </w:pPr>
      <w:r>
        <w:rPr>
          <w:b/>
        </w:rPr>
        <w:t>Argument 1 — Verhaeltnismaessigkeit (Art. 49 GRCh, Art. 20 Abs. 3 GG):</w:t>
      </w:r>
    </w:p>
    <w:p>
      <w:pPr>
        <w:jc w:val="left"/>
      </w:pPr>
      <w:r>
        <w:t>Ein Bussgeld von mehr als 1 Mio. EUR bei einem Jahresumsatz von 4 Mio. EUR gefährdet die wirtschaftliche Existenz von 38 Mitarbeitern. Das Bundesverfassungsgericht hat in BVerfG 1 BvR 2628/18 (Vereinigungsfreiheit) das Verhaeltnismaessigkeitsprinzip auch bei Unternehmensgeldbussen bestätigt.</w:t>
      </w:r>
    </w:p>
    <w:p>
      <w:pPr>
        <w:jc w:val="left"/>
      </w:pPr>
      <w:r>
        <w:rPr>
          <w:b/>
        </w:rPr>
        <w:t>Argument 2 — EuGH C-807/21 (Deutsche Wohnen):</w:t>
      </w:r>
    </w:p>
    <w:p>
      <w:pPr>
        <w:jc w:val="left"/>
      </w:pPr>
      <w:r>
        <w:t>Der EuGH hat klargestellt, dass Organhaftung nur bei individuellem Verschulden des Organs begründet werden kann. Das unpersönliche Handeln einer juristischen Person genügt nicht automatisch für die haerteste Sanktionsstufe.</w:t>
      </w:r>
    </w:p>
    <w:p>
      <w:pPr>
        <w:jc w:val="left"/>
      </w:pPr>
      <w:r>
        <w:rPr>
          <w:b/>
        </w:rPr>
        <w:t>Argument 3 — Art. 83 Abs. 2 lit. b (keine Absicht):</w:t>
      </w:r>
    </w:p>
    <w:p>
      <w:pPr>
        <w:jc w:val="left"/>
      </w:pPr>
      <w:r>
        <w:t>Der Verstoss gegen Art. 6 und Art. 22 DSGVO resultiert aus Rechtsunkenntnis der Geschäftsführung, nicht aus vorsätzlicher Umgehung. Die interne Warnung der DSB Kessler-Brandt wurde zwar ignoriert, dies begrundet Fahrlässigkeit, nicht Vorsatz.</w:t>
      </w:r>
    </w:p>
    <w:p>
      <w:pPr>
        <w:jc w:val="left"/>
      </w:pPr>
      <w:r>
        <w:rPr>
          <w:b/>
        </w:rPr>
        <w:t>Argument 4 — Früher Zeitpunkt (Marktreife KI-Recht):</w:t>
      </w:r>
    </w:p>
    <w:p>
      <w:pPr>
        <w:jc w:val="left"/>
      </w:pPr>
      <w:r>
        <w:t>Der Go-Live des Moduls (März 2023) lag vor Veröffentlichung der finalen EDSA-Leitlinien 01/2022 zur automatisierten Entscheidungsfindung. VCS befand sich in einer Rechtsunklarheit.</w:t>
      </w:r>
    </w:p>
    <w:p>
      <w:pPr>
        <w:pStyle w:val="Heading3"/>
      </w:pPr>
      <w:r>
        <w:rPr>
          <w:rFonts w:ascii="Times New Roman" w:hAnsi="Times New Roman"/>
        </w:rPr>
        <w:t>3.2 Angestrebte Bussgeldbandbreite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Voraussetzungen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Optimum (Verwarnung)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 Sanierung vor LDI-Entscheidung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Realistisches Minimum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Starke Kooperation, KMU-Abschlag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Wahrscheinliches Bussgeld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500.000 – 1.500.000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Standardfall kooperative Verteidigung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Worst Case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4.000.000 – 5.000.000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Erschwerungsgruende, kein Entgegenkommen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DSGVO Art. 83 — dejure.org/gesetze/DSGVO</w:t>
      </w:r>
    </w:p>
    <w:p>
      <w:pPr>
        <w:pStyle w:val="ListBullet"/>
      </w:pPr>
      <w:r>
        <w:t>EDSA-Leitlinien 04/2022 (Bussgeldbemessung) — edpb.europa.eu</w:t>
      </w:r>
    </w:p>
    <w:p>
      <w:pPr>
        <w:pStyle w:val="ListBullet"/>
      </w:pPr>
      <w:r>
        <w:t>EuGH C-807/21 (Deutsche Wohnen), Urt. v. 05.12.2023 — eur-lex.europa.eu</w:t>
      </w:r>
    </w:p>
    <w:p>
      <w:pPr>
        <w:pStyle w:val="ListBullet"/>
      </w:pPr>
      <w:r>
        <w:t>BVerfG 1 BvR 2628/18 — bundesverfassungsgericht.de</w:t>
      </w:r>
    </w:p>
    <w:p>
      <w:pPr>
        <w:pStyle w:val="ListBullet"/>
      </w:pPr>
      <w:r>
        <w:t>OLG Düsseldorf, Urt. v. 28.11.2023 — VI-5 Kart 11/19 OWi — openjur.de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