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Sammelklage VDuG: LG Essen 18 Mass 4/26</w:t>
      </w:r>
    </w:p>
    <w:p>
      <w:pPr>
        <w:jc w:val="left"/>
      </w:pPr>
      <w:r>
        <w:rPr>
          <w:b/>
        </w:rPr>
        <w:t>Aktenzeichen:</w:t>
      </w:r>
      <w:r>
        <w:t xml:space="preserve"> LG Essen 18 Mass 4/26</w:t>
      </w:r>
    </w:p>
    <w:p>
      <w:pPr>
        <w:jc w:val="left"/>
      </w:pPr>
      <w:r>
        <w:rPr>
          <w:b/>
        </w:rPr>
        <w:t>Bearbeiter:</w:t>
      </w:r>
      <w:r>
        <w:t xml:space="preserve"> RAin Miriam Beckenbauer, RA Dr. Cornelius Specht</w:t>
      </w:r>
    </w:p>
    <w:p>
      <w:pPr>
        <w:jc w:val="left"/>
      </w:pPr>
      <w:r>
        <w:rPr>
          <w:b/>
        </w:rPr>
        <w:t>Datum:</w:t>
      </w:r>
      <w:r>
        <w:t xml:space="preserve"> 23. Januar 2026</w:t>
      </w:r>
    </w:p>
    <w:p>
      <w:pPr>
        <w:jc w:val="left"/>
      </w:pPr>
      <w:r>
        <w:rPr>
          <w:b/>
        </w:rPr>
        <w:t>Betreff:</w:t>
      </w:r>
      <w:r>
        <w:t xml:space="preserve"> Analyse und Verteidigungsstrategie Massenverfahren VDuG</w:t>
      </w:r>
    </w:p>
    <w:p/>
    <w:p>
      <w:pPr>
        <w:pStyle w:val="Heading2"/>
      </w:pPr>
      <w:r>
        <w:rPr>
          <w:rFonts w:ascii="Times New Roman" w:hAnsi="Times New Roman"/>
        </w:rPr>
        <w:t>1. Verfahrensgrundlagen VDuG</w:t>
      </w:r>
    </w:p>
    <w:p>
      <w:pPr>
        <w:pStyle w:val="Heading3"/>
      </w:pPr>
      <w:r>
        <w:rPr>
          <w:rFonts w:ascii="Times New Roman" w:hAnsi="Times New Roman"/>
        </w:rPr>
        <w:t>1.1 Das Verbraucherrechtedurchsetzungsgesetz (VDuG)</w:t>
      </w:r>
    </w:p>
    <w:p>
      <w:pPr>
        <w:jc w:val="left"/>
      </w:pPr>
      <w:r>
        <w:t>Das VDuG (Verbraucherrechtedurchsetzungsgesetz) ist am 13. Oktober 2023 in Kraft getreten und setzt die Verbandsklagenrichtlinie (EU) 2020/1828 in deutsches Recht um. Es ermoeooglicht qualifizierten Verbrauchereinrichtungen und Verboenden, Musterfeststellungsklagen und Abschoeepfungsklagen im Namen einer Vielzahl von Verbrauchern zu erheben.</w:t>
      </w:r>
    </w:p>
    <w:p>
      <w:pPr>
        <w:jc w:val="left"/>
      </w:pPr>
      <w:r>
        <w:rPr>
          <w:b/>
        </w:rPr>
        <w:t>Anwendbarkeit auf DSGVO-Ansprüche:</w:t>
      </w:r>
    </w:p>
    <w:p>
      <w:pPr>
        <w:jc w:val="left"/>
      </w:pPr>
      <w:r>
        <w:t>Das VDuG erfasst nach § 2 VDuG Unterlassungsansprüche, Feststellungsansprüche und Schadensersatzansprüche von Verbrauchern, die aus Rechtsverletzungen entstehen. Datenschutzverletzungen, die zu immateriellen Schäden nach Art. 82 DSGVO führen, sind vom Anwendungsbereich erfasst, soweit die Betroffenen als Verbraucher agieren — was bei Mietinteressenten regelmaessig der Fall ist.</w:t>
      </w:r>
    </w:p>
    <w:p>
      <w:pPr>
        <w:pStyle w:val="Heading3"/>
      </w:pPr>
      <w:r>
        <w:rPr>
          <w:rFonts w:ascii="Times New Roman" w:hAnsi="Times New Roman"/>
        </w:rPr>
        <w:t>1.2 Verfahrensparteien</w:t>
      </w:r>
    </w:p>
    <w:p>
      <w:pPr>
        <w:jc w:val="left"/>
      </w:pPr>
      <w:r>
        <w:rPr>
          <w:b/>
        </w:rPr>
        <w:t>Kläger:</w:t>
      </w:r>
      <w:r>
        <w:t xml:space="preserve"> Verbraucherzentrale NRW e.V. (VZ NRW, Düsseldorf), Kläger als repräsentative Einrichtung nach § 3 VDuG i.V.m. Anlage 1 VDuG, handelnd im Namen von 8.200 angemeldeten Betroffenen.</w:t>
      </w:r>
    </w:p>
    <w:p>
      <w:pPr>
        <w:jc w:val="left"/>
      </w:pPr>
      <w:r>
        <w:rPr>
          <w:b/>
        </w:rPr>
        <w:t>Beklagte:</w:t>
      </w:r>
      <w:r>
        <w:t xml:space="preserve"> VermieterCheck Solutions GmbH, Ruhrallee 188, 45136 Essen.</w:t>
      </w:r>
    </w:p>
    <w:p>
      <w:pPr>
        <w:jc w:val="left"/>
      </w:pPr>
      <w:r>
        <w:rPr>
          <w:b/>
        </w:rPr>
        <w:t>Prozessbevollmaechtigte Beklagte:</w:t>
      </w:r>
      <w:r>
        <w:t xml:space="preserve"> Specht, Beckenbauer &amp; Drosselberg Rechtsanwaltsgesellschaft mbH, Düsseldorf.</w:t>
      </w:r>
    </w:p>
    <w:p/>
    <w:p>
      <w:pPr>
        <w:pStyle w:val="Heading2"/>
      </w:pPr>
      <w:r>
        <w:rPr>
          <w:rFonts w:ascii="Times New Roman" w:hAnsi="Times New Roman"/>
        </w:rPr>
        <w:t>2. Klagebegehrren und Anspruchsgrundlage</w:t>
      </w:r>
    </w:p>
    <w:p>
      <w:pPr>
        <w:pStyle w:val="Heading3"/>
      </w:pPr>
      <w:r>
        <w:rPr>
          <w:rFonts w:ascii="Times New Roman" w:hAnsi="Times New Roman"/>
        </w:rPr>
        <w:t>2.1 Geltend gemachte Ansprüche</w:t>
      </w:r>
    </w:p>
    <w:p>
      <w:pPr>
        <w:jc w:val="left"/>
      </w:pPr>
      <w:r>
        <w:t>Die Verbraucherzentrale NRW macht geltend:</w:t>
      </w:r>
    </w:p>
    <w:p>
      <w:pPr>
        <w:pStyle w:val="ListNumber"/>
      </w:pPr>
      <w:r>
        <w:rPr>
          <w:b/>
        </w:rPr>
        <w:t>Feststellungsklage (§ 15 VDuG):</w:t>
      </w:r>
      <w:r>
        <w:t xml:space="preserve"> Feststellung, dass VCS durch den Betrieb von ProspectScore Pro ohne wirksame Einwilligung das Recht der 8.200 Kläger auf Schutz personenbezogener Daten verletzt hat</w:t>
      </w:r>
    </w:p>
    <w:p>
      <w:pPr>
        <w:pStyle w:val="ListNumber"/>
      </w:pPr>
      <w:r>
        <w:rPr>
          <w:b/>
        </w:rPr>
        <w:t>Leistungsklage (Schadensersatz Art. 82 DSGVO):</w:t>
      </w:r>
      <w:r>
        <w:t xml:space="preserve"> Immaterieller Schadensersatz je 1.500 EUR pro betroffenem Mietinteressenten</w:t>
      </w:r>
    </w:p>
    <w:p>
      <w:pPr>
        <w:pStyle w:val="ListNumber"/>
      </w:pPr>
      <w:r>
        <w:rPr>
          <w:b/>
        </w:rPr>
        <w:t>Unterlassung:</w:t>
      </w:r>
      <w:r>
        <w:t xml:space="preserve"> Unterlassung des weiteren Betriebs von ProspectScore Pro ohne DSGVO-konforme Rechtsgrundlage</w:t>
      </w:r>
    </w:p>
    <w:p>
      <w:pPr>
        <w:jc w:val="left"/>
      </w:pPr>
      <w:r>
        <w:rPr>
          <w:b/>
        </w:rPr>
        <w:t>Gesamtklagesumme:</w:t>
      </w:r>
      <w:r>
        <w:t xml:space="preserve"> 8.200 x 1.500 EUR = 12.300.000 EUR zzgl. Zinsen und Kosten.</w:t>
      </w:r>
    </w:p>
    <w:p>
      <w:pPr>
        <w:pStyle w:val="Heading3"/>
      </w:pPr>
      <w:r>
        <w:rPr>
          <w:rFonts w:ascii="Times New Roman" w:hAnsi="Times New Roman"/>
        </w:rPr>
        <w:t>2.2 Anspruchsgrundlage Art. 82 DSGVO</w:t>
      </w:r>
    </w:p>
    <w:p>
      <w:pPr>
        <w:jc w:val="left"/>
      </w:pPr>
      <w:r>
        <w:t>Art. 82 Abs. 1 DSGVO gewährt jeder Person, der wegen eines Verstosses gegen die DSGVO ein materieller oder immaterieller Schaden entstanden ist, einen Anspruch auf Schadensersatz gegen den Verantwortlichen.</w:t>
      </w:r>
    </w:p>
    <w:p>
      <w:pPr>
        <w:jc w:val="left"/>
      </w:pPr>
      <w:r>
        <w:rPr>
          <w:b/>
        </w:rPr>
        <w:t>Haftungsvoraussetzungen:</w:t>
      </w:r>
    </w:p>
    <w:p>
      <w:pPr>
        <w:pStyle w:val="ListNumber"/>
      </w:pPr>
      <w:r>
        <w:t>Verstoss gegen DSGVO — von VCS nicht bestreitbar (s. Akten 03, 04)</w:t>
      </w:r>
    </w:p>
    <w:p>
      <w:pPr>
        <w:pStyle w:val="ListNumber"/>
      </w:pPr>
      <w:r>
        <w:t>Schaden (materiell oder immateriell) — s. Akte 11 (Bagatellgrenze)</w:t>
      </w:r>
    </w:p>
    <w:p>
      <w:pPr>
        <w:pStyle w:val="ListNumber"/>
      </w:pPr>
      <w:r>
        <w:t>Kausalzusammenhang — Verbindung Datenverletzung / Schaden umstritten</w:t>
      </w:r>
    </w:p>
    <w:p/>
    <w:p>
      <w:pPr>
        <w:pStyle w:val="Heading2"/>
      </w:pPr>
      <w:r>
        <w:rPr>
          <w:rFonts w:ascii="Times New Roman" w:hAnsi="Times New Roman"/>
        </w:rPr>
        <w:t>3. Verfahrensablauf VDuG-Massenverfahren</w:t>
      </w:r>
    </w:p>
    <w:p>
      <w:pPr>
        <w:pStyle w:val="Heading3"/>
      </w:pPr>
      <w:r>
        <w:rPr>
          <w:rFonts w:ascii="Times New Roman" w:hAnsi="Times New Roman"/>
        </w:rPr>
        <w:t>3.1 Verfahrensstadien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Stadium</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Status</w:t>
            </w:r>
          </w:p>
        </w:tc>
      </w:tr>
      <w:tr>
        <w:tc>
          <w:tcPr>
            <w:tcW w:type="dxa" w:w="3024"/>
          </w:tcPr>
          <w:p>
            <w:r>
              <w:rPr>
                <w:rFonts w:ascii="Times New Roman" w:hAnsi="Times New Roman"/>
                <w:sz w:val="20"/>
              </w:rPr>
              <w:t>Anmeldung der Betroffenen</w:t>
            </w:r>
          </w:p>
        </w:tc>
        <w:tc>
          <w:tcPr>
            <w:tcW w:type="dxa" w:w="3024"/>
          </w:tcPr>
          <w:p>
            <w:r>
              <w:rPr>
                <w:rFonts w:ascii="Times New Roman" w:hAnsi="Times New Roman"/>
                <w:sz w:val="20"/>
              </w:rPr>
              <w:t>§ 10 VDuG</w:t>
            </w:r>
          </w:p>
        </w:tc>
        <w:tc>
          <w:tcPr>
            <w:tcW w:type="dxa" w:w="3024"/>
          </w:tcPr>
          <w:p>
            <w:r>
              <w:rPr>
                <w:rFonts w:ascii="Times New Roman" w:hAnsi="Times New Roman"/>
                <w:sz w:val="20"/>
              </w:rPr>
              <w:t>Abgeschlossen (8.200 Betroffene)</w:t>
            </w:r>
          </w:p>
        </w:tc>
      </w:tr>
      <w:tr>
        <w:tc>
          <w:tcPr>
            <w:tcW w:type="dxa" w:w="3024"/>
          </w:tcPr>
          <w:p>
            <w:r>
              <w:rPr>
                <w:rFonts w:ascii="Times New Roman" w:hAnsi="Times New Roman"/>
                <w:sz w:val="20"/>
              </w:rPr>
              <w:t>Eroefffnung Massenverfahren</w:t>
            </w:r>
          </w:p>
        </w:tc>
        <w:tc>
          <w:tcPr>
            <w:tcW w:type="dxa" w:w="3024"/>
          </w:tcPr>
          <w:p>
            <w:r>
              <w:rPr>
                <w:rFonts w:ascii="Times New Roman" w:hAnsi="Times New Roman"/>
                <w:sz w:val="20"/>
              </w:rPr>
              <w:t>§ 14 VDuG</w:t>
            </w:r>
          </w:p>
        </w:tc>
        <w:tc>
          <w:tcPr>
            <w:tcW w:type="dxa" w:w="3024"/>
          </w:tcPr>
          <w:p>
            <w:r>
              <w:rPr>
                <w:rFonts w:ascii="Times New Roman" w:hAnsi="Times New Roman"/>
                <w:sz w:val="20"/>
              </w:rPr>
              <w:t>Eröffnet 15.12.2025</w:t>
            </w:r>
          </w:p>
        </w:tc>
      </w:tr>
      <w:tr>
        <w:tc>
          <w:tcPr>
            <w:tcW w:type="dxa" w:w="3024"/>
          </w:tcPr>
          <w:p>
            <w:r>
              <w:rPr>
                <w:rFonts w:ascii="Times New Roman" w:hAnsi="Times New Roman"/>
                <w:sz w:val="20"/>
              </w:rPr>
              <w:t>Feststellungsurteil</w:t>
            </w:r>
          </w:p>
        </w:tc>
        <w:tc>
          <w:tcPr>
            <w:tcW w:type="dxa" w:w="3024"/>
          </w:tcPr>
          <w:p>
            <w:r>
              <w:rPr>
                <w:rFonts w:ascii="Times New Roman" w:hAnsi="Times New Roman"/>
                <w:sz w:val="20"/>
              </w:rPr>
              <w:t>§§ 15-17 VDuG</w:t>
            </w:r>
          </w:p>
        </w:tc>
        <w:tc>
          <w:tcPr>
            <w:tcW w:type="dxa" w:w="3024"/>
          </w:tcPr>
          <w:p>
            <w:r>
              <w:rPr>
                <w:rFonts w:ascii="Times New Roman" w:hAnsi="Times New Roman"/>
                <w:sz w:val="20"/>
              </w:rPr>
              <w:t>Ausstehend</w:t>
            </w:r>
          </w:p>
        </w:tc>
      </w:tr>
      <w:tr>
        <w:tc>
          <w:tcPr>
            <w:tcW w:type="dxa" w:w="3024"/>
          </w:tcPr>
          <w:p>
            <w:r>
              <w:rPr>
                <w:rFonts w:ascii="Times New Roman" w:hAnsi="Times New Roman"/>
                <w:sz w:val="20"/>
              </w:rPr>
              <w:t>Individualurteil (Schadensersatz)</w:t>
            </w:r>
          </w:p>
        </w:tc>
        <w:tc>
          <w:tcPr>
            <w:tcW w:type="dxa" w:w="3024"/>
          </w:tcPr>
          <w:p>
            <w:r>
              <w:rPr>
                <w:rFonts w:ascii="Times New Roman" w:hAnsi="Times New Roman"/>
                <w:sz w:val="20"/>
              </w:rPr>
              <w:t>§§ 18-20 VDuG</w:t>
            </w:r>
          </w:p>
        </w:tc>
        <w:tc>
          <w:tcPr>
            <w:tcW w:type="dxa" w:w="3024"/>
          </w:tcPr>
          <w:p>
            <w:r>
              <w:rPr>
                <w:rFonts w:ascii="Times New Roman" w:hAnsi="Times New Roman"/>
                <w:sz w:val="20"/>
              </w:rPr>
              <w:t>Nach Feststellungsurteil</w:t>
            </w:r>
          </w:p>
        </w:tc>
      </w:tr>
      <w:tr>
        <w:tc>
          <w:tcPr>
            <w:tcW w:type="dxa" w:w="3024"/>
          </w:tcPr>
          <w:p>
            <w:r>
              <w:rPr>
                <w:rFonts w:ascii="Times New Roman" w:hAnsi="Times New Roman"/>
                <w:sz w:val="20"/>
              </w:rPr>
              <w:t>Vollstreckung</w:t>
            </w:r>
          </w:p>
        </w:tc>
        <w:tc>
          <w:tcPr>
            <w:tcW w:type="dxa" w:w="3024"/>
          </w:tcPr>
          <w:p>
            <w:r>
              <w:rPr>
                <w:rFonts w:ascii="Times New Roman" w:hAnsi="Times New Roman"/>
                <w:sz w:val="20"/>
              </w:rPr>
              <w:t>§§ 21-25 VDuG</w:t>
            </w:r>
          </w:p>
        </w:tc>
        <w:tc>
          <w:tcPr>
            <w:tcW w:type="dxa" w:w="3024"/>
          </w:tcPr>
          <w:p>
            <w:r>
              <w:rPr>
                <w:rFonts w:ascii="Times New Roman" w:hAnsi="Times New Roman"/>
                <w:sz w:val="20"/>
              </w:rPr>
              <w:t>Nach Urteil</w:t>
            </w:r>
          </w:p>
        </w:tc>
      </w:tr>
    </w:tbl>
    <w:p>
      <w:pPr>
        <w:pStyle w:val="Heading3"/>
      </w:pPr>
      <w:r>
        <w:rPr>
          <w:rFonts w:ascii="Times New Roman" w:hAnsi="Times New Roman"/>
        </w:rPr>
        <w:t>3.2 Zuständigkeit LG Essen</w:t>
      </w:r>
    </w:p>
    <w:p>
      <w:pPr>
        <w:jc w:val="left"/>
      </w:pPr>
      <w:r>
        <w:t>Das Landgericht Essen ist sachlich (§ 71 GVG — 5.000 EUR+) und örtlich (§ 12 VDuG — Sitz der Beklagten) zuständig. Die speziell eingerichtete Kammer für Massenverfahren (18. Zivilkammer) ist gemäß Geschäftsverteilungsplan 2026 zuständig.</w:t>
      </w:r>
    </w:p>
    <w:p/>
    <w:p>
      <w:pPr>
        <w:pStyle w:val="Heading2"/>
      </w:pPr>
      <w:r>
        <w:rPr>
          <w:rFonts w:ascii="Times New Roman" w:hAnsi="Times New Roman"/>
        </w:rPr>
        <w:t>4. Verteidigungsargumente</w:t>
      </w:r>
    </w:p>
    <w:p>
      <w:pPr>
        <w:pStyle w:val="Heading3"/>
      </w:pPr>
      <w:r>
        <w:rPr>
          <w:rFonts w:ascii="Times New Roman" w:hAnsi="Times New Roman"/>
        </w:rPr>
        <w:t>4.1 Argument 1: Fehlende Aktivlegitimation der VZ NRW</w:t>
      </w:r>
    </w:p>
    <w:p>
      <w:pPr>
        <w:jc w:val="left"/>
      </w:pPr>
      <w:r>
        <w:t>Für die Aktivlegitimation nach § 3 VDuG muss die Klaegereinrichtung in der Liste des § 4 VDuG eingetragen sein (Qualifizierte Einrichtungen). Die VZ NRW ist als eingetragene Verbrauchereinrichtung anerkannt — dieses Argument schlägt fehl.</w:t>
      </w:r>
    </w:p>
    <w:p>
      <w:pPr>
        <w:jc w:val="left"/>
      </w:pPr>
      <w:r>
        <w:rPr>
          <w:b/>
        </w:rPr>
        <w:t>Fallback:</w:t>
      </w:r>
      <w:r>
        <w:t xml:space="preserve"> Pruefung, ob die geltend gemachten Ansprüche sämtlich von Verbrauchern stammen. Falls Unternehmer unter den 8.200 Anmeldern sind, sind diese aus dem Verfahren auszuscheiden.</w:t>
      </w:r>
    </w:p>
    <w:p>
      <w:pPr>
        <w:pStyle w:val="Heading3"/>
      </w:pPr>
      <w:r>
        <w:rPr>
          <w:rFonts w:ascii="Times New Roman" w:hAnsi="Times New Roman"/>
        </w:rPr>
        <w:t>4.2 Argument 2: Fehlender Schaden — Bagatellgrenze</w:t>
      </w:r>
    </w:p>
    <w:p>
      <w:pPr>
        <w:jc w:val="left"/>
      </w:pPr>
      <w:r>
        <w:t>S. ausführlich Akte 11 (Art. 82 DSGVO Bagatellgrenze).</w:t>
      </w:r>
    </w:p>
    <w:p>
      <w:pPr>
        <w:jc w:val="left"/>
      </w:pPr>
      <w:r>
        <w:t>Kurzfassung: Der EuGH hat in C-300/21 (Österreichische Post, 04.05.2023) klargestellt, dass nicht jeder Verstoss gegen die DSGVO automatisch zu einem Schadensersatzanspruch führt. Ein tatsächlicher Schaden muss vorliegen; bloss abstrakte Angst genügt grundsätzlich nicht.</w:t>
      </w:r>
    </w:p>
    <w:p>
      <w:pPr>
        <w:jc w:val="left"/>
      </w:pPr>
      <w:r>
        <w:rPr>
          <w:b/>
        </w:rPr>
        <w:t>Verteidigungsargument:</w:t>
      </w:r>
      <w:r>
        <w:t xml:space="preserve"> Kein Betroffener der 8.200 Kläger hat dargelegt, infolge des ProspectScore-Pro-Scorings konkret eine Wohnung nicht bekommen zu haben. Die Sammelklage benötigt individuelle Kausalitaetsnachweise.</w:t>
      </w:r>
    </w:p>
    <w:p>
      <w:pPr>
        <w:pStyle w:val="Heading3"/>
      </w:pPr>
      <w:r>
        <w:rPr>
          <w:rFonts w:ascii="Times New Roman" w:hAnsi="Times New Roman"/>
        </w:rPr>
        <w:t>4.3 Argument 3: Mitverschulden der Betroffenen</w:t>
      </w:r>
    </w:p>
    <w:p>
      <w:pPr>
        <w:jc w:val="left"/>
      </w:pPr>
      <w:r>
        <w:t>Betroffene, die ihre Einwilligung (wenn auch unwirksam) aktiv erteilt haben und sich dennoch bewerben, tragen ein Mitverschulden (§ 254 BGB analog). Argument: Die faktische Einwilligung begrenzt den Schadensersatz.</w:t>
      </w:r>
    </w:p>
    <w:p>
      <w:pPr>
        <w:pStyle w:val="Heading3"/>
      </w:pPr>
      <w:r>
        <w:rPr>
          <w:rFonts w:ascii="Times New Roman" w:hAnsi="Times New Roman"/>
        </w:rPr>
        <w:t>4.4 Argument 4: Verjaahrung</w:t>
      </w:r>
    </w:p>
    <w:p>
      <w:pPr>
        <w:jc w:val="left"/>
      </w:pPr>
      <w:r>
        <w:t>Art. 82 DSGVO sieht keine eigene Verjaahrungsregelung vor. Nach § 195 BGB gilt die regelmäßige Verjaahrungsfrist von 3 Jahren. Für Mietinteressenten, die vor Januar 2023 bewertet wurden, könnte Verjaahrung eingetreten sein.</w:t>
      </w:r>
    </w:p>
    <w:p>
      <w:pPr>
        <w:jc w:val="left"/>
      </w:pPr>
      <w:r>
        <w:rPr>
          <w:b/>
        </w:rPr>
        <w:t>Pruefung:</w:t>
      </w:r>
      <w:r>
        <w:t xml:space="preserve"> Kenntnismoment (§ 199 Abs. 1 BGB) — Betroffene hatten vor der öffentlichen Berichterstattung (Dezember 2025 / Januar 2026) keine Kenntnis. Verjaahrung beginnt 01.01.2026 (Jahr der Kenntnis). Einwand greift nur für frühste Verarbeitungen (vor 01.01.2023).</w:t>
      </w:r>
    </w:p>
    <w:p>
      <w:pPr>
        <w:pStyle w:val="Heading3"/>
      </w:pPr>
      <w:r>
        <w:rPr>
          <w:rFonts w:ascii="Times New Roman" w:hAnsi="Times New Roman"/>
        </w:rPr>
        <w:t>4.5 Argument 5: Mitwirkung an Sanierungsmassnahmen (Schlichtungsangebot)</w:t>
      </w:r>
    </w:p>
    <w:p>
      <w:pPr>
        <w:jc w:val="left"/>
      </w:pPr>
      <w:r>
        <w:t>VCS wird anbieten, einen Schlichtungsfonds von 500.000 EUR einzurichten und Betroffene pauschal mit 60 EUR je Person (= 492.000 EUR gesamt) zu entschädigen — als Vergleichsangebot vor Feststellungsurteil. Dies reduziert das Gesamtrisiko erheblich und ist PR-wirksam.</w:t>
      </w:r>
    </w:p>
    <w:p/>
    <w:p>
      <w:pPr>
        <w:pStyle w:val="Heading2"/>
      </w:pPr>
      <w:r>
        <w:rPr>
          <w:rFonts w:ascii="Times New Roman" w:hAnsi="Times New Roman"/>
        </w:rPr>
        <w:t>5. Prozesstaktik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Massnahme</w:t>
            </w:r>
          </w:p>
        </w:tc>
        <w:tc>
          <w:tcPr>
            <w:tcW w:type="dxa" w:w="3024"/>
          </w:tcPr>
          <w:p>
            <w:r>
              <w:rPr>
                <w:rFonts w:ascii="Times New Roman" w:hAnsi="Times New Roman"/>
                <w:b/>
                <w:sz w:val="20"/>
              </w:rPr>
              <w:t>Zeitpunkt</w:t>
            </w:r>
          </w:p>
        </w:tc>
        <w:tc>
          <w:tcPr>
            <w:tcW w:type="dxa" w:w="3024"/>
          </w:tcPr>
          <w:p>
            <w:r>
              <w:rPr>
                <w:rFonts w:ascii="Times New Roman" w:hAnsi="Times New Roman"/>
                <w:b/>
                <w:sz w:val="20"/>
              </w:rPr>
              <w:t>Ziel</w:t>
            </w:r>
          </w:p>
        </w:tc>
      </w:tr>
      <w:tr>
        <w:tc>
          <w:tcPr>
            <w:tcW w:type="dxa" w:w="3024"/>
          </w:tcPr>
          <w:p>
            <w:r>
              <w:rPr>
                <w:rFonts w:ascii="Times New Roman" w:hAnsi="Times New Roman"/>
                <w:sz w:val="20"/>
              </w:rPr>
              <w:t>Klageerwiderung einreichen</w:t>
            </w:r>
          </w:p>
        </w:tc>
        <w:tc>
          <w:tcPr>
            <w:tcW w:type="dxa" w:w="3024"/>
          </w:tcPr>
          <w:p>
            <w:r>
              <w:rPr>
                <w:rFonts w:ascii="Times New Roman" w:hAnsi="Times New Roman"/>
                <w:sz w:val="20"/>
              </w:rPr>
              <w:t>15.03.2026</w:t>
            </w:r>
          </w:p>
        </w:tc>
        <w:tc>
          <w:tcPr>
            <w:tcW w:type="dxa" w:w="3024"/>
          </w:tcPr>
          <w:p>
            <w:r>
              <w:rPr>
                <w:rFonts w:ascii="Times New Roman" w:hAnsi="Times New Roman"/>
                <w:sz w:val="20"/>
              </w:rPr>
              <w:t>Setzung Verteidigungspositionen</w:t>
            </w:r>
          </w:p>
        </w:tc>
      </w:tr>
      <w:tr>
        <w:tc>
          <w:tcPr>
            <w:tcW w:type="dxa" w:w="3024"/>
          </w:tcPr>
          <w:p>
            <w:r>
              <w:rPr>
                <w:rFonts w:ascii="Times New Roman" w:hAnsi="Times New Roman"/>
                <w:sz w:val="20"/>
              </w:rPr>
              <w:t>Antrag auf Vorabentscheidung EuGH</w:t>
            </w:r>
          </w:p>
        </w:tc>
        <w:tc>
          <w:tcPr>
            <w:tcW w:type="dxa" w:w="3024"/>
          </w:tcPr>
          <w:p>
            <w:r>
              <w:rPr>
                <w:rFonts w:ascii="Times New Roman" w:hAnsi="Times New Roman"/>
                <w:sz w:val="20"/>
              </w:rPr>
              <w:t>Ggf. nach Klageerwiderung</w:t>
            </w:r>
          </w:p>
        </w:tc>
        <w:tc>
          <w:tcPr>
            <w:tcW w:type="dxa" w:w="3024"/>
          </w:tcPr>
          <w:p>
            <w:r>
              <w:rPr>
                <w:rFonts w:ascii="Times New Roman" w:hAnsi="Times New Roman"/>
                <w:sz w:val="20"/>
              </w:rPr>
              <w:t>Klärung Bagatellgrenze</w:t>
            </w:r>
          </w:p>
        </w:tc>
      </w:tr>
      <w:tr>
        <w:tc>
          <w:tcPr>
            <w:tcW w:type="dxa" w:w="3024"/>
          </w:tcPr>
          <w:p>
            <w:r>
              <w:rPr>
                <w:rFonts w:ascii="Times New Roman" w:hAnsi="Times New Roman"/>
                <w:sz w:val="20"/>
              </w:rPr>
              <w:t>Vergleichsangebot</w:t>
            </w:r>
          </w:p>
        </w:tc>
        <w:tc>
          <w:tcPr>
            <w:tcW w:type="dxa" w:w="3024"/>
          </w:tcPr>
          <w:p>
            <w:r>
              <w:rPr>
                <w:rFonts w:ascii="Times New Roman" w:hAnsi="Times New Roman"/>
                <w:sz w:val="20"/>
              </w:rPr>
              <w:t>Mai 2026</w:t>
            </w:r>
          </w:p>
        </w:tc>
        <w:tc>
          <w:tcPr>
            <w:tcW w:type="dxa" w:w="3024"/>
          </w:tcPr>
          <w:p>
            <w:r>
              <w:rPr>
                <w:rFonts w:ascii="Times New Roman" w:hAnsi="Times New Roman"/>
                <w:sz w:val="20"/>
              </w:rPr>
              <w:t>Verfahrensbeendigung</w:t>
            </w:r>
          </w:p>
        </w:tc>
      </w:tr>
      <w:tr>
        <w:tc>
          <w:tcPr>
            <w:tcW w:type="dxa" w:w="3024"/>
          </w:tcPr>
          <w:p>
            <w:r>
              <w:rPr>
                <w:rFonts w:ascii="Times New Roman" w:hAnsi="Times New Roman"/>
                <w:sz w:val="20"/>
              </w:rPr>
              <w:t>Sachverstaendigengutachten</w:t>
            </w:r>
          </w:p>
        </w:tc>
        <w:tc>
          <w:tcPr>
            <w:tcW w:type="dxa" w:w="3024"/>
          </w:tcPr>
          <w:p>
            <w:r>
              <w:rPr>
                <w:rFonts w:ascii="Times New Roman" w:hAnsi="Times New Roman"/>
                <w:sz w:val="20"/>
              </w:rPr>
              <w:t>Gemäß Beweisbeschluss</w:t>
            </w:r>
          </w:p>
        </w:tc>
        <w:tc>
          <w:tcPr>
            <w:tcW w:type="dxa" w:w="3024"/>
          </w:tcPr>
          <w:p>
            <w:r>
              <w:rPr>
                <w:rFonts w:ascii="Times New Roman" w:hAnsi="Times New Roman"/>
                <w:sz w:val="20"/>
              </w:rPr>
              <w:t>Widerlegung Kausalität</w:t>
            </w:r>
          </w:p>
        </w:tc>
      </w:tr>
    </w:tbl>
    <w:p/>
    <w:p>
      <w:pPr>
        <w:pStyle w:val="Heading2"/>
      </w:pPr>
      <w:r>
        <w:rPr>
          <w:rFonts w:ascii="Times New Roman" w:hAnsi="Times New Roman"/>
        </w:rPr>
        <w:t>Quellen</w:t>
      </w:r>
    </w:p>
    <w:p>
      <w:pPr>
        <w:pStyle w:val="ListBullet"/>
      </w:pPr>
      <w:r>
        <w:t>VDuG §§ 2, 3, 10, 14, 15, 18 — dejure.org/gesetze/VDuG</w:t>
      </w:r>
    </w:p>
    <w:p>
      <w:pPr>
        <w:pStyle w:val="ListBullet"/>
      </w:pPr>
      <w:r>
        <w:t>DSGVO Art. 82 — dejure.org/gesetze/DSGVO</w:t>
      </w:r>
    </w:p>
    <w:p>
      <w:pPr>
        <w:pStyle w:val="ListBullet"/>
      </w:pPr>
      <w:r>
        <w:t>EuGH C-300/21 (Oesterreichische Post), Urt. v. 04.05.2023 — eur-lex.europa.eu</w:t>
      </w:r>
    </w:p>
    <w:p>
      <w:pPr>
        <w:pStyle w:val="ListBullet"/>
      </w:pPr>
      <w:r>
        <w:t>BGH VI ZR 10/24 — bundesgerichtshof.de</w:t>
      </w:r>
    </w:p>
    <w:p>
      <w:pPr>
        <w:pStyle w:val="ListBullet"/>
      </w:pPr>
      <w:r>
        <w:t>BGB §§ 195, 199, 254 — dejure.org/gesetze/BGB</w:t>
      </w:r>
    </w:p>
    <w:p>
      <w:pPr>
        <w:pStyle w:val="ListBullet"/>
      </w:pPr>
      <w:r>
        <w:t>Verbandsklagenrichtlinie (EU) 2020/1828 — eur-lex.europa.eu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