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Art. 82 DSGVO: Schadensersatz und Bagatellgrenze</w:t>
      </w:r>
    </w:p>
    <w:p>
      <w:pPr>
        <w:jc w:val="left"/>
      </w:pPr>
      <w:r>
        <w:rPr>
          <w:b/>
        </w:rPr>
        <w:t>Aktenzeichen:</w:t>
      </w:r>
      <w:r>
        <w:t xml:space="preserve"> LG Essen 18 Mass 4/26</w:t>
      </w:r>
    </w:p>
    <w:p>
      <w:pPr>
        <w:jc w:val="left"/>
      </w:pPr>
      <w:r>
        <w:rPr>
          <w:b/>
        </w:rPr>
        <w:t>Bearbeiter:</w:t>
      </w:r>
      <w:r>
        <w:t xml:space="preserve"> RA Dr. Cornelius Specht</w:t>
      </w:r>
    </w:p>
    <w:p>
      <w:pPr>
        <w:jc w:val="left"/>
      </w:pPr>
      <w:r>
        <w:rPr>
          <w:b/>
        </w:rPr>
        <w:t>Datum:</w:t>
      </w:r>
      <w:r>
        <w:t xml:space="preserve"> 24. Januar 2026</w:t>
      </w:r>
    </w:p>
    <w:p>
      <w:pPr>
        <w:jc w:val="left"/>
      </w:pPr>
      <w:r>
        <w:rPr>
          <w:b/>
        </w:rPr>
        <w:t>Betreff:</w:t>
      </w:r>
      <w:r>
        <w:t xml:space="preserve"> Analyse der Schadensersatzpflicht Art. 82 DSGVO und Bagatellgrenzen-Argumentation</w:t>
      </w:r>
    </w:p>
    <w:p/>
    <w:p>
      <w:pPr>
        <w:pStyle w:val="Heading2"/>
      </w:pPr>
      <w:r>
        <w:rPr>
          <w:rFonts w:ascii="Times New Roman" w:hAnsi="Times New Roman"/>
        </w:rPr>
        <w:t>1. Tatbestand Art. 82 DSGVO</w:t>
      </w:r>
    </w:p>
    <w:p>
      <w:pPr>
        <w:jc w:val="left"/>
      </w:pPr>
      <w:r>
        <w:t>Art. 82 Abs. 1 DSGVO: Jede Person, der wegen eines Verstosses gegen diese Verordnung ein materieller oder immaterieller Schaden entstanden ist, hat Anspruch auf Schadenersatz gegen den Verantwortlichen oder gegen den Auftragsverarbeiter.</w:t>
      </w:r>
    </w:p>
    <w:p>
      <w:pPr>
        <w:jc w:val="left"/>
      </w:pPr>
      <w:r>
        <w:t>Art. 82 Abs. 2 DSGVO: Verantwortliche haften für sämtliche Schäden aus DSGVO-Verstoessen, sofern sie nicht nachweisen, dass sie in keiner Weise für den Umstand, durch den der Schaden eingetreten ist, verantwortlich sind.</w:t>
      </w:r>
    </w:p>
    <w:p/>
    <w:p>
      <w:pPr>
        <w:pStyle w:val="Heading2"/>
      </w:pPr>
      <w:r>
        <w:rPr>
          <w:rFonts w:ascii="Times New Roman" w:hAnsi="Times New Roman"/>
        </w:rPr>
        <w:t>2. Höherentwicklung der EuGH-Rechtsprechung</w:t>
      </w:r>
    </w:p>
    <w:p>
      <w:pPr>
        <w:pStyle w:val="Heading3"/>
      </w:pPr>
      <w:r>
        <w:rPr>
          <w:rFonts w:ascii="Times New Roman" w:hAnsi="Times New Roman"/>
        </w:rPr>
        <w:t>2.1 EuGH C-300/21 (Österreichische Post, 04.05.2023)</w:t>
      </w:r>
    </w:p>
    <w:p>
      <w:pPr>
        <w:jc w:val="left"/>
      </w:pPr>
      <w:r>
        <w:rPr>
          <w:b/>
        </w:rPr>
        <w:t>Leitsatz:</w:t>
      </w:r>
      <w:r>
        <w:t xml:space="preserve"> Art. 82 DSGVO setzt einen tatsächlichen Schaden voraus. Jede Verletzung der DSGVO führt nicht automatisch zu einem Schadensersatzanspruch. Das Schadenserfordernis — auch für immaterielle Schäden — besteht als eigene Haftungsvoraussetzung neben dem Vorliegen eines Verstosses und dem Kausalzusammenhang.</w:t>
      </w:r>
    </w:p>
    <w:p>
      <w:pPr>
        <w:jc w:val="left"/>
      </w:pPr>
      <w:r>
        <w:rPr>
          <w:b/>
        </w:rPr>
        <w:t>Konsequenz für VCS:</w:t>
      </w:r>
      <w:r>
        <w:t xml:space="preserve"> Betroffene müssen darlegen und beweisen, dass ihnen tatsächlich ein (auch immaterieller) Schaden entstanden ist. Die blosse Tatsache des Datenschutzvestosses genügt nicht.</w:t>
      </w:r>
    </w:p>
    <w:p>
      <w:pPr>
        <w:pStyle w:val="Heading3"/>
      </w:pPr>
      <w:r>
        <w:rPr>
          <w:rFonts w:ascii="Times New Roman" w:hAnsi="Times New Roman"/>
        </w:rPr>
        <w:t>2.2 EuGH C-456/22 (Gemeinde Ummendorf, 14.12.2023)</w:t>
      </w:r>
    </w:p>
    <w:p>
      <w:pPr>
        <w:jc w:val="left"/>
      </w:pPr>
      <w:r>
        <w:rPr>
          <w:b/>
        </w:rPr>
        <w:t>Leitsatz:</w:t>
      </w:r>
      <w:r>
        <w:t xml:space="preserve"> Der Begriff des immateriellen Schadens schliesst nicht jede Unzufriedenheit oder jede empfundene Unannehmlichkeit ein. Es muss eine messbare Beeinträchtigung vorliegen.</w:t>
      </w:r>
    </w:p>
    <w:p>
      <w:pPr>
        <w:jc w:val="left"/>
      </w:pPr>
      <w:r>
        <w:rPr>
          <w:b/>
        </w:rPr>
        <w:t>Konsequenz für VCS:</w:t>
      </w:r>
      <w:r>
        <w:t xml:space="preserve"> Pauschale Behauptungen, man fühle sich unwohl, genügen nicht.</w:t>
      </w:r>
    </w:p>
    <w:p>
      <w:pPr>
        <w:pStyle w:val="Heading3"/>
      </w:pPr>
      <w:r>
        <w:rPr>
          <w:rFonts w:ascii="Times New Roman" w:hAnsi="Times New Roman"/>
        </w:rPr>
        <w:t>2.3 BGH VI ZR 10/24 (18.11.2024)</w:t>
      </w:r>
    </w:p>
    <w:p>
      <w:pPr>
        <w:jc w:val="left"/>
      </w:pPr>
      <w:r>
        <w:rPr>
          <w:b/>
        </w:rPr>
        <w:t>Leitsatz:</w:t>
      </w:r>
      <w:r>
        <w:t xml:space="preserve"> Der BGH hat nach dem EuGH-Urteil C-300/21 klargestellt, dass auch der Kontrollverlust über eigene Daten einen immateriellen Schaden darstellen kann, wenn die betroffene Person den Verlust der Kontrolle tatsächlich wahrgenommen hat und nicht lediglich abstrakt behauptet. Die Angst vor Missbrauch kann genügen, wenn sie nicht nur rein hypothetisch ist.</w:t>
      </w:r>
    </w:p>
    <w:p>
      <w:pPr>
        <w:jc w:val="left"/>
      </w:pPr>
      <w:r>
        <w:rPr>
          <w:b/>
        </w:rPr>
        <w:t>Konsequenz für VCS:</w:t>
      </w:r>
      <w:r>
        <w:t xml:space="preserve"> Bei 142.300 geleakten Datensätzen (CVE-2026-0188) liegt ein tatsächlicher Datenverlust vor. Für diese Betroffenen ist ein Schaden leichter zu begründen als für reine Profiling-Betroffene ohne Datenpanne.</w:t>
      </w:r>
    </w:p>
    <w:p>
      <w:pPr>
        <w:pStyle w:val="Heading3"/>
      </w:pPr>
      <w:r>
        <w:rPr>
          <w:rFonts w:ascii="Times New Roman" w:hAnsi="Times New Roman"/>
        </w:rPr>
        <w:t>2.4 OLG Hamm, Urt. v. 15.08.2023 — 7 U 19/23</w:t>
      </w:r>
    </w:p>
    <w:p>
      <w:pPr>
        <w:jc w:val="left"/>
      </w:pPr>
      <w:r>
        <w:t>Das OLG Hamm hat in einem vergleichbaren DSGVO-Schadensersatzfall (Kreditscoring) einen Schadensersatz von 2.000 EUR für immaterielle Schäden zugesprochen, wo eine konkrete Ablehnung wegen fehlerhafter Schufa-Eintragung nachgewiesen war.</w:t>
      </w:r>
    </w:p>
    <w:p/>
    <w:p>
      <w:pPr>
        <w:pStyle w:val="Heading2"/>
      </w:pPr>
      <w:r>
        <w:rPr>
          <w:rFonts w:ascii="Times New Roman" w:hAnsi="Times New Roman"/>
        </w:rPr>
        <w:t>3. Analyse der 8.200 Kläger-Ansprüche</w:t>
      </w:r>
    </w:p>
    <w:p>
      <w:pPr>
        <w:pStyle w:val="Heading3"/>
      </w:pPr>
      <w:r>
        <w:rPr>
          <w:rFonts w:ascii="Times New Roman" w:hAnsi="Times New Roman"/>
        </w:rPr>
        <w:t>3.1 Segmentierung der Kläger nach Schadenslage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Segment</w:t>
            </w:r>
          </w:p>
        </w:tc>
        <w:tc>
          <w:tcPr>
            <w:tcW w:type="dxa" w:w="2268"/>
          </w:tcPr>
          <w:p>
            <w:r>
              <w:rPr>
                <w:rFonts w:ascii="Times New Roman" w:hAnsi="Times New Roman"/>
                <w:b/>
                <w:sz w:val="20"/>
              </w:rPr>
              <w:t>Anzahl</w:t>
            </w:r>
          </w:p>
        </w:tc>
        <w:tc>
          <w:tcPr>
            <w:tcW w:type="dxa" w:w="2268"/>
          </w:tcPr>
          <w:p>
            <w:r>
              <w:rPr>
                <w:rFonts w:ascii="Times New Roman" w:hAnsi="Times New Roman"/>
                <w:b/>
                <w:sz w:val="20"/>
              </w:rPr>
              <w:t>Schadenslage</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A: Wohnungsablehnung nachweislich wegen ROT-Score</w:t>
            </w:r>
          </w:p>
        </w:tc>
        <w:tc>
          <w:tcPr>
            <w:tcW w:type="dxa" w:w="2268"/>
          </w:tcPr>
          <w:p>
            <w:r>
              <w:rPr>
                <w:rFonts w:ascii="Times New Roman" w:hAnsi="Times New Roman"/>
                <w:sz w:val="20"/>
              </w:rPr>
              <w:t>Geschätzt 800</w:t>
            </w:r>
          </w:p>
        </w:tc>
        <w:tc>
          <w:tcPr>
            <w:tcW w:type="dxa" w:w="2268"/>
          </w:tcPr>
          <w:p>
            <w:r>
              <w:rPr>
                <w:rFonts w:ascii="Times New Roman" w:hAnsi="Times New Roman"/>
                <w:sz w:val="20"/>
              </w:rPr>
              <w:t>Stark (direkte Kausalität)</w:t>
            </w:r>
          </w:p>
        </w:tc>
        <w:tc>
          <w:tcPr>
            <w:tcW w:type="dxa" w:w="2268"/>
          </w:tcPr>
          <w:p>
            <w:r>
              <w:rPr>
                <w:rFonts w:ascii="Times New Roman" w:hAnsi="Times New Roman"/>
                <w:sz w:val="20"/>
              </w:rPr>
              <w:t>Anspruch wahrscheinlich</w:t>
            </w:r>
          </w:p>
        </w:tc>
      </w:tr>
      <w:tr>
        <w:tc>
          <w:tcPr>
            <w:tcW w:type="dxa" w:w="2268"/>
          </w:tcPr>
          <w:p>
            <w:r>
              <w:rPr>
                <w:rFonts w:ascii="Times New Roman" w:hAnsi="Times New Roman"/>
                <w:sz w:val="20"/>
              </w:rPr>
              <w:t>B: Datenleak-Betroffene (142.300 gesamt, davon Kläger)</w:t>
            </w:r>
          </w:p>
        </w:tc>
        <w:tc>
          <w:tcPr>
            <w:tcW w:type="dxa" w:w="2268"/>
          </w:tcPr>
          <w:p>
            <w:r>
              <w:rPr>
                <w:rFonts w:ascii="Times New Roman" w:hAnsi="Times New Roman"/>
                <w:sz w:val="20"/>
              </w:rPr>
              <w:t>Geschätzt 2.100</w:t>
            </w:r>
          </w:p>
        </w:tc>
        <w:tc>
          <w:tcPr>
            <w:tcW w:type="dxa" w:w="2268"/>
          </w:tcPr>
          <w:p>
            <w:r>
              <w:rPr>
                <w:rFonts w:ascii="Times New Roman" w:hAnsi="Times New Roman"/>
                <w:sz w:val="20"/>
              </w:rPr>
              <w:t>Mittel (Kontrollverlust belegt)</w:t>
            </w:r>
          </w:p>
        </w:tc>
        <w:tc>
          <w:tcPr>
            <w:tcW w:type="dxa" w:w="2268"/>
          </w:tcPr>
          <w:p>
            <w:r>
              <w:rPr>
                <w:rFonts w:ascii="Times New Roman" w:hAnsi="Times New Roman"/>
                <w:sz w:val="20"/>
              </w:rPr>
              <w:t>Anspruch möglich</w:t>
            </w:r>
          </w:p>
        </w:tc>
      </w:tr>
      <w:tr>
        <w:tc>
          <w:tcPr>
            <w:tcW w:type="dxa" w:w="2268"/>
          </w:tcPr>
          <w:p>
            <w:r>
              <w:rPr>
                <w:rFonts w:ascii="Times New Roman" w:hAnsi="Times New Roman"/>
                <w:sz w:val="20"/>
              </w:rPr>
              <w:t>C: Profiling-Betroffene ohne Datenleak, mit GRÜN/GELB-Score</w:t>
            </w:r>
          </w:p>
        </w:tc>
        <w:tc>
          <w:tcPr>
            <w:tcW w:type="dxa" w:w="2268"/>
          </w:tcPr>
          <w:p>
            <w:r>
              <w:rPr>
                <w:rFonts w:ascii="Times New Roman" w:hAnsi="Times New Roman"/>
                <w:sz w:val="20"/>
              </w:rPr>
              <w:t>Geschätzt 3.400</w:t>
            </w:r>
          </w:p>
        </w:tc>
        <w:tc>
          <w:tcPr>
            <w:tcW w:type="dxa" w:w="2268"/>
          </w:tcPr>
          <w:p>
            <w:r>
              <w:rPr>
                <w:rFonts w:ascii="Times New Roman" w:hAnsi="Times New Roman"/>
                <w:sz w:val="20"/>
              </w:rPr>
              <w:t>Schwach (kein konkreter Schaden)</w:t>
            </w:r>
          </w:p>
        </w:tc>
        <w:tc>
          <w:tcPr>
            <w:tcW w:type="dxa" w:w="2268"/>
          </w:tcPr>
          <w:p>
            <w:r>
              <w:rPr>
                <w:rFonts w:ascii="Times New Roman" w:hAnsi="Times New Roman"/>
                <w:sz w:val="20"/>
              </w:rPr>
              <w:t>Anspruch zweifelhaft</w:t>
            </w:r>
          </w:p>
        </w:tc>
      </w:tr>
      <w:tr>
        <w:tc>
          <w:tcPr>
            <w:tcW w:type="dxa" w:w="2268"/>
          </w:tcPr>
          <w:p>
            <w:r>
              <w:rPr>
                <w:rFonts w:ascii="Times New Roman" w:hAnsi="Times New Roman"/>
                <w:sz w:val="20"/>
              </w:rPr>
              <w:t>D: Betroffene ohne nachweisliche Auswirkung</w:t>
            </w:r>
          </w:p>
        </w:tc>
        <w:tc>
          <w:tcPr>
            <w:tcW w:type="dxa" w:w="2268"/>
          </w:tcPr>
          <w:p>
            <w:r>
              <w:rPr>
                <w:rFonts w:ascii="Times New Roman" w:hAnsi="Times New Roman"/>
                <w:sz w:val="20"/>
              </w:rPr>
              <w:t>Geschätzt 1.900</w:t>
            </w:r>
          </w:p>
        </w:tc>
        <w:tc>
          <w:tcPr>
            <w:tcW w:type="dxa" w:w="2268"/>
          </w:tcPr>
          <w:p>
            <w:r>
              <w:rPr>
                <w:rFonts w:ascii="Times New Roman" w:hAnsi="Times New Roman"/>
                <w:sz w:val="20"/>
              </w:rPr>
              <w:t>Minimal</w:t>
            </w:r>
          </w:p>
        </w:tc>
        <w:tc>
          <w:tcPr>
            <w:tcW w:type="dxa" w:w="2268"/>
          </w:tcPr>
          <w:p>
            <w:r>
              <w:rPr>
                <w:rFonts w:ascii="Times New Roman" w:hAnsi="Times New Roman"/>
                <w:sz w:val="20"/>
              </w:rPr>
              <w:t>Anspruch unwahrscheinlich</w:t>
            </w:r>
          </w:p>
        </w:tc>
      </w:tr>
    </w:tbl>
    <w:p>
      <w:pPr>
        <w:jc w:val="left"/>
      </w:pPr>
      <w:r>
        <w:rPr>
          <w:b/>
        </w:rPr>
        <w:t>Verteidigungsansatz:</w:t>
      </w:r>
      <w:r>
        <w:t xml:space="preserve"> Differenzierte Auseinandersetzung mit den Segmenten A bis D. Zugeständnis bei Segment A und B (Vergleichsangebot), Abwehr bei C und D.</w:t>
      </w:r>
    </w:p>
    <w:p>
      <w:pPr>
        <w:pStyle w:val="Heading3"/>
      </w:pPr>
      <w:r>
        <w:rPr>
          <w:rFonts w:ascii="Times New Roman" w:hAnsi="Times New Roman"/>
        </w:rPr>
        <w:t>3.2 Höhe des immateriellen Schadens</w:t>
      </w:r>
    </w:p>
    <w:p>
      <w:pPr>
        <w:jc w:val="left"/>
      </w:pPr>
      <w:r>
        <w:t>Art. 82 DSGVO enthält keine gesetzliche Schadenshoeheproblematik — die Berechnung erfolgt nach nationalen Grundsätzen. Referenzpunkte: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Gericht</w:t>
            </w:r>
          </w:p>
        </w:tc>
        <w:tc>
          <w:tcPr>
            <w:tcW w:type="dxa" w:w="3024"/>
          </w:tcPr>
          <w:p>
            <w:r>
              <w:rPr>
                <w:rFonts w:ascii="Times New Roman" w:hAnsi="Times New Roman"/>
                <w:b/>
                <w:sz w:val="20"/>
              </w:rPr>
              <w:t>Fall</w:t>
            </w:r>
          </w:p>
        </w:tc>
        <w:tc>
          <w:tcPr>
            <w:tcW w:type="dxa" w:w="3024"/>
          </w:tcPr>
          <w:p>
            <w:r>
              <w:rPr>
                <w:rFonts w:ascii="Times New Roman" w:hAnsi="Times New Roman"/>
                <w:b/>
                <w:sz w:val="20"/>
              </w:rPr>
              <w:t>Zugesprochener Betrag</w:t>
            </w:r>
          </w:p>
        </w:tc>
      </w:tr>
      <w:tr>
        <w:tc>
          <w:tcPr>
            <w:tcW w:type="dxa" w:w="3024"/>
          </w:tcPr>
          <w:p>
            <w:r>
              <w:rPr>
                <w:rFonts w:ascii="Times New Roman" w:hAnsi="Times New Roman"/>
                <w:sz w:val="20"/>
              </w:rPr>
              <w:t>OLG Hamm 7 U 19/23</w:t>
            </w:r>
          </w:p>
        </w:tc>
        <w:tc>
          <w:tcPr>
            <w:tcW w:type="dxa" w:w="3024"/>
          </w:tcPr>
          <w:p>
            <w:r>
              <w:rPr>
                <w:rFonts w:ascii="Times New Roman" w:hAnsi="Times New Roman"/>
                <w:sz w:val="20"/>
              </w:rPr>
              <w:t>Schufa-Scoring-Fehler</w:t>
            </w:r>
          </w:p>
        </w:tc>
        <w:tc>
          <w:tcPr>
            <w:tcW w:type="dxa" w:w="3024"/>
          </w:tcPr>
          <w:p>
            <w:r>
              <w:rPr>
                <w:rFonts w:ascii="Times New Roman" w:hAnsi="Times New Roman"/>
                <w:sz w:val="20"/>
              </w:rPr>
              <w:t>2.000 EUR</w:t>
            </w:r>
          </w:p>
        </w:tc>
      </w:tr>
      <w:tr>
        <w:tc>
          <w:tcPr>
            <w:tcW w:type="dxa" w:w="3024"/>
          </w:tcPr>
          <w:p>
            <w:r>
              <w:rPr>
                <w:rFonts w:ascii="Times New Roman" w:hAnsi="Times New Roman"/>
                <w:sz w:val="20"/>
              </w:rPr>
              <w:t>LG Frankfurt 2-27 O 100/21</w:t>
            </w:r>
          </w:p>
        </w:tc>
        <w:tc>
          <w:tcPr>
            <w:tcW w:type="dxa" w:w="3024"/>
          </w:tcPr>
          <w:p>
            <w:r>
              <w:rPr>
                <w:rFonts w:ascii="Times New Roman" w:hAnsi="Times New Roman"/>
                <w:sz w:val="20"/>
              </w:rPr>
              <w:t>Datenleak Facebook</w:t>
            </w:r>
          </w:p>
        </w:tc>
        <w:tc>
          <w:tcPr>
            <w:tcW w:type="dxa" w:w="3024"/>
          </w:tcPr>
          <w:p>
            <w:r>
              <w:rPr>
                <w:rFonts w:ascii="Times New Roman" w:hAnsi="Times New Roman"/>
                <w:sz w:val="20"/>
              </w:rPr>
              <w:t>500–1.000 EUR</w:t>
            </w:r>
          </w:p>
        </w:tc>
      </w:tr>
      <w:tr>
        <w:tc>
          <w:tcPr>
            <w:tcW w:type="dxa" w:w="3024"/>
          </w:tcPr>
          <w:p>
            <w:r>
              <w:rPr>
                <w:rFonts w:ascii="Times New Roman" w:hAnsi="Times New Roman"/>
                <w:sz w:val="20"/>
              </w:rPr>
              <w:t>LG Düsseldorf 4 O 267/21</w:t>
            </w:r>
          </w:p>
        </w:tc>
        <w:tc>
          <w:tcPr>
            <w:tcW w:type="dxa" w:w="3024"/>
          </w:tcPr>
          <w:p>
            <w:r>
              <w:rPr>
                <w:rFonts w:ascii="Times New Roman" w:hAnsi="Times New Roman"/>
                <w:sz w:val="20"/>
              </w:rPr>
              <w:t>Whatsapp-Datenpanne</w:t>
            </w:r>
          </w:p>
        </w:tc>
        <w:tc>
          <w:tcPr>
            <w:tcW w:type="dxa" w:w="3024"/>
          </w:tcPr>
          <w:p>
            <w:r>
              <w:rPr>
                <w:rFonts w:ascii="Times New Roman" w:hAnsi="Times New Roman"/>
                <w:sz w:val="20"/>
              </w:rPr>
              <w:t>100 EUR</w:t>
            </w:r>
          </w:p>
        </w:tc>
      </w:tr>
      <w:tr>
        <w:tc>
          <w:tcPr>
            <w:tcW w:type="dxa" w:w="3024"/>
          </w:tcPr>
          <w:p>
            <w:r>
              <w:rPr>
                <w:rFonts w:ascii="Times New Roman" w:hAnsi="Times New Roman"/>
                <w:sz w:val="20"/>
              </w:rPr>
              <w:t>BGH VI ZR 10/24</w:t>
            </w:r>
          </w:p>
        </w:tc>
        <w:tc>
          <w:tcPr>
            <w:tcW w:type="dxa" w:w="3024"/>
          </w:tcPr>
          <w:p>
            <w:r>
              <w:rPr>
                <w:rFonts w:ascii="Times New Roman" w:hAnsi="Times New Roman"/>
                <w:sz w:val="20"/>
              </w:rPr>
              <w:t>Datenleak mit Kontrollverlust</w:t>
            </w:r>
          </w:p>
        </w:tc>
        <w:tc>
          <w:tcPr>
            <w:tcW w:type="dxa" w:w="3024"/>
          </w:tcPr>
          <w:p>
            <w:r>
              <w:rPr>
                <w:rFonts w:ascii="Times New Roman" w:hAnsi="Times New Roman"/>
                <w:sz w:val="20"/>
              </w:rPr>
              <w:t>1.200 EUR</w:t>
            </w:r>
          </w:p>
        </w:tc>
      </w:tr>
    </w:tbl>
    <w:p>
      <w:pPr>
        <w:jc w:val="left"/>
      </w:pPr>
      <w:r>
        <w:rPr>
          <w:b/>
        </w:rPr>
        <w:t>Klaegerforderung:</w:t>
      </w:r>
      <w:r>
        <w:t xml:space="preserve"> 1.500 EUR — am oberen Ende des realistischen Spektrums für reine Profiling-Fälle ohne Datenpanne.</w:t>
      </w:r>
    </w:p>
    <w:p>
      <w:pPr>
        <w:jc w:val="left"/>
      </w:pPr>
      <w:r>
        <w:rPr>
          <w:b/>
        </w:rPr>
        <w:t>Gegenargument VCS:</w:t>
      </w:r>
      <w:r>
        <w:t xml:space="preserve"> Für Segment C und D liegt kein anspruchsbegruendender Schaden vor. Selbst für Segment A und B ist 1.500 EUR übersetzt; realistisch sind 300–800 EUR.</w:t>
      </w:r>
    </w:p>
    <w:p/>
    <w:p>
      <w:pPr>
        <w:pStyle w:val="Heading2"/>
      </w:pPr>
      <w:r>
        <w:rPr>
          <w:rFonts w:ascii="Times New Roman" w:hAnsi="Times New Roman"/>
        </w:rPr>
        <w:t>4. Bagatellgrenzen-Argumentation</w:t>
      </w:r>
    </w:p>
    <w:p>
      <w:pPr>
        <w:pStyle w:val="Heading3"/>
      </w:pPr>
      <w:r>
        <w:rPr>
          <w:rFonts w:ascii="Times New Roman" w:hAnsi="Times New Roman"/>
        </w:rPr>
        <w:t>4.1 Bagatellschwelle nach EuGH und BGH</w:t>
      </w:r>
    </w:p>
    <w:p>
      <w:pPr>
        <w:jc w:val="left"/>
      </w:pPr>
      <w:r>
        <w:t>Der BGH hat in VI ZR 10/24 keine explizite Bagatellgrenze eingeführt, aber betont, dass ein minimaler, unbedeutender Schaden nicht ausreicht. Das OLG Stuttgart (2 U 63/21) hat eine Bagatellschwelle von ca. 100 EUR als Untergrenze diskutiert.</w:t>
      </w:r>
    </w:p>
    <w:p>
      <w:pPr>
        <w:pStyle w:val="Heading3"/>
      </w:pPr>
      <w:r>
        <w:rPr>
          <w:rFonts w:ascii="Times New Roman" w:hAnsi="Times New Roman"/>
        </w:rPr>
        <w:t>4.2 VCS-Argumentation</w:t>
      </w:r>
    </w:p>
    <w:p>
      <w:pPr>
        <w:jc w:val="left"/>
      </w:pPr>
      <w:r>
        <w:t>Für Betroffene des Segments C (Profiling, GRÜN/GELB-Score, keine Wohnungsablehnung):</w:t>
      </w:r>
    </w:p>
    <w:p>
      <w:pPr>
        <w:pStyle w:val="ListBullet"/>
      </w:pPr>
      <w:r>
        <w:t>Kein Datenleak (nicht Teil der 142.300 exfiltrierten Datensätze)</w:t>
      </w:r>
    </w:p>
    <w:p>
      <w:pPr>
        <w:pStyle w:val="ListBullet"/>
      </w:pPr>
      <w:r>
        <w:t>Keine negative Scoring-Auswirkung (GRÜN/GELB = positive/neutrale Bewertung)</w:t>
      </w:r>
    </w:p>
    <w:p>
      <w:pPr>
        <w:pStyle w:val="ListBullet"/>
      </w:pPr>
      <w:r>
        <w:t>Keine belegbare Angst oder psychische Belastung vorgetragen</w:t>
      </w:r>
    </w:p>
    <w:p>
      <w:pPr>
        <w:jc w:val="left"/>
      </w:pPr>
      <w:r>
        <w:rPr>
          <w:b/>
        </w:rPr>
        <w:t>Argument:</w:t>
      </w:r>
      <w:r>
        <w:t xml:space="preserve"> Schadensersatzanspruch scheitert an der Voraussetzung eines tatsächlichen (nicht bloss behaupteten) immateriellen Schadens.</w:t>
      </w:r>
    </w:p>
    <w:p/>
    <w:p>
      <w:pPr>
        <w:pStyle w:val="Heading2"/>
      </w:pPr>
      <w:r>
        <w:rPr>
          <w:rFonts w:ascii="Times New Roman" w:hAnsi="Times New Roman"/>
        </w:rPr>
        <w:t>5. Haftungsbefreiung Art. 82 Abs. 3 DSGVO</w:t>
      </w:r>
    </w:p>
    <w:p>
      <w:pPr>
        <w:jc w:val="left"/>
      </w:pPr>
      <w:r>
        <w:t>Art. 82 Abs. 3 DSGVO: Verantwortliche können sich von der Haftung befreien, wenn sie nachweisen, dass sie in keinerlei Hinsicht für den Umstand verantwortlich sind, durch den der Schaden entstanden ist.</w:t>
      </w:r>
    </w:p>
    <w:p>
      <w:pPr>
        <w:jc w:val="left"/>
      </w:pPr>
      <w:r>
        <w:rPr>
          <w:b/>
        </w:rPr>
        <w:t>Anwendbarkeit für VCS:</w:t>
      </w:r>
      <w:r>
        <w:t xml:space="preserve"> Begrenzt. VCS ist als Verantwortlicher direkt für den Verstoss verantwortlich. Eine Entlastung kommt allenfalls in Betracht, wenn Sundara Tech als Auftragsverarbeiter den Datenleak verursacht hat (was die Forensik noch nicht klärt).</w:t>
      </w:r>
    </w:p>
    <w:p/>
    <w:p>
      <w:pPr>
        <w:pStyle w:val="Heading2"/>
      </w:pPr>
      <w:r>
        <w:rPr>
          <w:rFonts w:ascii="Times New Roman" w:hAnsi="Times New Roman"/>
        </w:rPr>
        <w:t>6. Gesamtbewertung und Vergleichsstrategie</w:t>
      </w:r>
    </w:p>
    <w:p>
      <w:pPr>
        <w:jc w:val="left"/>
      </w:pPr>
      <w:r>
        <w:rPr>
          <w:b/>
        </w:rPr>
        <w:t>Bestes Ergebnis für VCS:</w:t>
      </w:r>
      <w:r>
        <w:t xml:space="preserve"> Abweisung der Klagen der Segmente C und D (ca. 5.300 Betroffene x 1.500 EUR = 7.950.000 EUR entlastet). Vergleich mit Segmenten A und B bei 600 EUR je Person = 1.740.000 EUR.</w:t>
      </w:r>
    </w:p>
    <w:p>
      <w:pPr>
        <w:jc w:val="left"/>
      </w:pPr>
      <w:r>
        <w:rPr>
          <w:b/>
        </w:rPr>
        <w:t>Realistisches Vergleichsangebot:</w:t>
      </w:r>
      <w:r>
        <w:t xml:space="preserve"> 500.000 EUR Pauschalbetrag für Schlichtungsfonds, verwaltet von der VZ NRW. Verteilung an Betroffene nach Schadensnachweisstufe.</w:t>
      </w:r>
    </w:p>
    <w:p/>
    <w:p>
      <w:pPr>
        <w:pStyle w:val="Heading2"/>
      </w:pPr>
      <w:r>
        <w:rPr>
          <w:rFonts w:ascii="Times New Roman" w:hAnsi="Times New Roman"/>
        </w:rPr>
        <w:t>Quellen</w:t>
      </w:r>
    </w:p>
    <w:p>
      <w:pPr>
        <w:pStyle w:val="ListBullet"/>
      </w:pPr>
      <w:r>
        <w:t>DSGVO Art. 82 — dejure.org/gesetze/DSGVO</w:t>
      </w:r>
    </w:p>
    <w:p>
      <w:pPr>
        <w:pStyle w:val="ListBullet"/>
      </w:pPr>
      <w:r>
        <w:t>EuGH C-300/21 (Oesterreichische Post) — eur-lex.europa.eu</w:t>
      </w:r>
    </w:p>
    <w:p>
      <w:pPr>
        <w:pStyle w:val="ListBullet"/>
      </w:pPr>
      <w:r>
        <w:t>EuGH C-456/22 (Gemeinde Ummendorf) — eur-lex.europa.eu</w:t>
      </w:r>
    </w:p>
    <w:p>
      <w:pPr>
        <w:pStyle w:val="ListBullet"/>
      </w:pPr>
      <w:r>
        <w:t>BGH VI ZR 10/24 — bundesgerichtshof.de</w:t>
      </w:r>
    </w:p>
    <w:p>
      <w:pPr>
        <w:pStyle w:val="ListBullet"/>
      </w:pPr>
      <w:r>
        <w:t>OLG Hamm 7 U 19/23 — openjur.de</w:t>
      </w:r>
    </w:p>
    <w:p>
      <w:pPr>
        <w:pStyle w:val="ListBullet"/>
      </w:pPr>
      <w:r>
        <w:t>BGB § 254 — dejure.org/gesetze/BGB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