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HinSchG-Meldung und Whistleblower-Strategie</w:t>
      </w:r>
    </w:p>
    <w:p>
      <w:pPr>
        <w:jc w:val="left"/>
      </w:pPr>
      <w:r>
        <w:rPr>
          <w:b/>
        </w:rPr>
        <w:t>Aktenzeichen:</w:t>
      </w:r>
      <w:r>
        <w:t xml:space="preserve"> DSB-NW-44/26 (verbunden)</w:t>
      </w:r>
    </w:p>
    <w:p>
      <w:pPr>
        <w:jc w:val="left"/>
      </w:pPr>
      <w:r>
        <w:rPr>
          <w:b/>
        </w:rPr>
        <w:t>Bearbeiter:</w:t>
      </w:r>
      <w:r>
        <w:t xml:space="preserve"> RA Lars Drosselberg</w:t>
      </w:r>
    </w:p>
    <w:p>
      <w:pPr>
        <w:jc w:val="left"/>
      </w:pPr>
      <w:r>
        <w:rPr>
          <w:b/>
        </w:rPr>
        <w:t>Datum:</w:t>
      </w:r>
      <w:r>
        <w:t xml:space="preserve"> 27. Januar 2026</w:t>
      </w:r>
    </w:p>
    <w:p>
      <w:pPr>
        <w:jc w:val="left"/>
      </w:pPr>
      <w:r>
        <w:rPr>
          <w:b/>
        </w:rPr>
        <w:t>Betreff:</w:t>
      </w:r>
      <w:r>
        <w:t xml:space="preserve"> Analyse der HinSchG-Meldung und rechtliche Bewertung der Unternehmensstrategie</w:t>
      </w:r>
    </w:p>
    <w:p/>
    <w:p>
      <w:pPr>
        <w:pStyle w:val="Heading2"/>
      </w:pPr>
      <w:r>
        <w:rPr>
          <w:rFonts w:ascii="Times New Roman" w:hAnsi="Times New Roman"/>
        </w:rPr>
        <w:t>1. Sachverhaltsdarstellung</w:t>
      </w:r>
    </w:p>
    <w:p>
      <w:pPr>
        <w:pStyle w:val="Heading3"/>
      </w:pPr>
      <w:r>
        <w:rPr>
          <w:rFonts w:ascii="Times New Roman" w:hAnsi="Times New Roman"/>
        </w:rPr>
        <w:t>1.1 Die anonyme HinSchG-Meldung</w:t>
      </w:r>
    </w:p>
    <w:p>
      <w:pPr>
        <w:jc w:val="left"/>
      </w:pPr>
      <w:r>
        <w:t>Am 08. November 2025 wurde über den internen Hinweisgeberkanal der VermieterCheck Solutions GmbH (Whistleblowing-Portal, Software: Speakout GmbH) folgende anonyme Meldung eingereicht:</w:t>
      </w:r>
    </w:p>
    <w:p>
      <w:pPr>
        <w:jc w:val="left"/>
      </w:pPr>
      <w:r>
        <w:rPr>
          <w:b/>
        </w:rPr>
        <w:t>Meldungsinhalt (Zusammenfassung durch interne Meldestelle):</w:t>
      </w:r>
    </w:p>
    <w:p>
      <w:pPr>
        <w:ind w:left="567"/>
      </w:pPr>
      <w:r>
        <w:rPr>
          <w:i/>
        </w:rPr>
        <w:t>„Seit Oktober 2022 werden Produktionsdaten von Mietinteressenten an die indische Firma Sundara Tech Pvt. Ltd. (Bengaluru) übertragen. Es gibt weder Standarddatenschutzklauseln noch einen korrekten Auftragsverarbeitungsvertrag. Das Management weiss davon. Der DSB hat mehrfach intern gewarnt, ohne Ergebnis."</w:t>
      </w:r>
    </w:p>
    <w:p>
      <w:pPr>
        <w:jc w:val="left"/>
      </w:pPr>
      <w:r>
        <w:rPr>
          <w:b/>
        </w:rPr>
        <w:t>Hinweisgeber:</w:t>
      </w:r>
      <w:r>
        <w:t xml:space="preserve"> Anonym — aufgrund der Spezifizitaet der Informationen wahrscheinlich ein ehemaliger DevOps-Mitarbeiter (hat Zugriff auf Systemarchitektur gehabt; ausgeschieden ca. Juli 2025).</w:t>
      </w:r>
    </w:p>
    <w:p>
      <w:pPr>
        <w:pStyle w:val="Heading3"/>
      </w:pPr>
      <w:r>
        <w:rPr>
          <w:rFonts w:ascii="Times New Roman" w:hAnsi="Times New Roman"/>
        </w:rPr>
        <w:t>1.2 Reaktion der internen Meldestelle</w:t>
      </w:r>
    </w:p>
    <w:p>
      <w:pPr>
        <w:jc w:val="left"/>
      </w:pPr>
      <w:r>
        <w:t>Die interne Meldestelle (geleitet von Compliance-Officer Frau Patricia Hoelzken-Rabe) hat die Meldung am 12.11.2025 intern als „nicht pruefrelevant" klassifiziert und keine weiteren Massnahmen ergriffen. Eine Rückmeldung an den Hinweisgeber ist nicht erfolgt.</w:t>
      </w:r>
    </w:p>
    <w:p/>
    <w:p>
      <w:pPr>
        <w:pStyle w:val="Heading2"/>
      </w:pPr>
      <w:r>
        <w:rPr>
          <w:rFonts w:ascii="Times New Roman" w:hAnsi="Times New Roman"/>
        </w:rPr>
        <w:t>2. Rechtsrahmen Hinweisgeberschutzgesetz (HinSchG)</w:t>
      </w:r>
    </w:p>
    <w:p>
      <w:pPr>
        <w:pStyle w:val="Heading3"/>
      </w:pPr>
      <w:r>
        <w:rPr>
          <w:rFonts w:ascii="Times New Roman" w:hAnsi="Times New Roman"/>
        </w:rPr>
        <w:t>2.1 Anwendungsbereich HinSchG</w:t>
      </w:r>
    </w:p>
    <w:p>
      <w:pPr>
        <w:jc w:val="left"/>
      </w:pPr>
      <w:r>
        <w:t>Das HinSchG (Hinweisgeberschutzgesetz, in Kraft seit 02. Juli 2023) setzt die EU-Whistleblower-Richtlinie 2019/1937 in deutsches Recht um. Es gilt für Beschäftigte und ehemalige Beschäftigte, die Informationen über Verstaesse, die gegen EU-Recht (einschliesslich DSGVO) verstossen, melden.</w:t>
      </w:r>
    </w:p>
    <w:p>
      <w:pPr>
        <w:jc w:val="left"/>
      </w:pPr>
      <w:r>
        <w:rPr>
          <w:b/>
        </w:rPr>
        <w:t>Sachlicher Anwendungsbereich § 2 HinSchG:</w:t>
      </w:r>
    </w:p>
    <w:p>
      <w:pPr>
        <w:jc w:val="left"/>
      </w:pPr>
      <w:r>
        <w:t>§ 2 Abs. 1 Nr. 11 HinSchG: Datenschutzrecht einschliesslich DSGVO ist ausdrücklich erfasst.</w:t>
      </w:r>
    </w:p>
    <w:p>
      <w:pPr>
        <w:jc w:val="left"/>
      </w:pPr>
      <w:r>
        <w:rPr>
          <w:b/>
        </w:rPr>
        <w:t>Persönlicher Anwendungsbereich § 1 HinSchG:</w:t>
      </w:r>
    </w:p>
    <w:p>
      <w:pPr>
        <w:jc w:val="left"/>
      </w:pPr>
      <w:r>
        <w:t>Ehemalige Beschäftigte sind geschützt (§ 1 Abs. 1 HinSchG). Anonyme Hinweisgeber können Schutz in Anspruch nehmen, soweit ihre Identität später bekannt wird (§ 8 Abs. 2 HinSchG).</w:t>
      </w:r>
    </w:p>
    <w:p>
      <w:pPr>
        <w:pStyle w:val="Heading3"/>
      </w:pPr>
      <w:r>
        <w:rPr>
          <w:rFonts w:ascii="Times New Roman" w:hAnsi="Times New Roman"/>
        </w:rPr>
        <w:t>2.2 Pflichten des Unternehmens nach HinSchG</w:t>
      </w:r>
    </w:p>
    <w:p>
      <w:pPr>
        <w:jc w:val="left"/>
      </w:pPr>
      <w:r>
        <w:t>VCS (38 Mitarbeiter) unterliegt gemäß § 12 HinSchG (Unternehmen ab 50 Mitarbeitern) noch nicht der zwingenden Pflicht, ein internes Meldesystem einzurichten. Jedoch:</w:t>
      </w:r>
    </w:p>
    <w:p>
      <w:pPr>
        <w:pStyle w:val="ListBullet"/>
      </w:pPr>
      <w:r>
        <w:t>Das freiwillig eingerichtete Meldesystem unterliegt den Pflichten des § 17 HinSchG (Rückmeldung innerhalb von 3 Monaten)</w:t>
      </w:r>
    </w:p>
    <w:p>
      <w:pPr>
        <w:pStyle w:val="ListBullet"/>
      </w:pPr>
      <w:r>
        <w:t>Die Nichtbearbeitung einer eingegangenen Meldung kann eine Pflichtverletzung darstellen</w:t>
      </w:r>
    </w:p>
    <w:p>
      <w:pPr>
        <w:jc w:val="left"/>
      </w:pPr>
      <w:r>
        <w:rPr>
          <w:b/>
        </w:rPr>
        <w:t>Pruefung § 12 HinSchG:</w:t>
      </w:r>
      <w:r>
        <w:t xml:space="preserve"> 38 Mitarbeiter liegt unter der Schwelle von 50. Daher keine Pflicht zur Einrichtung eines Meldesystems — aber das freiwillig eingerichtete System muss regelkonform betrieben werden.</w:t>
      </w:r>
    </w:p>
    <w:p>
      <w:pPr>
        <w:pStyle w:val="Heading3"/>
      </w:pPr>
      <w:r>
        <w:rPr>
          <w:rFonts w:ascii="Times New Roman" w:hAnsi="Times New Roman"/>
        </w:rPr>
        <w:t>2.3 Schutz des Hinweisgebers § 36 HinSchG</w:t>
      </w:r>
    </w:p>
    <w:p>
      <w:pPr>
        <w:jc w:val="left"/>
      </w:pPr>
      <w:r>
        <w:t>§ 36 Abs. 1 HinSchG verbietet Repressalien gegen Hinweisgeber. Repressalien sind alle Massnahmen oder Unterlassungen, die unmittelbar oder mittelbar durch die Meldung veranlasst werden.</w:t>
      </w:r>
    </w:p>
    <w:p>
      <w:pPr>
        <w:jc w:val="left"/>
      </w:pPr>
      <w:r>
        <w:rPr>
          <w:b/>
        </w:rPr>
        <w:t>Praktische Konsequenz für VCS:</w:t>
      </w:r>
      <w:r>
        <w:t xml:space="preserve"> Es darf keine Identifizierung oder Massnahmen gegen den mutmasslichen Hinweisgeber (ehem. DevOps-Mitarbeiter) eingeleitet werden.</w:t>
      </w:r>
    </w:p>
    <w:p/>
    <w:p>
      <w:pPr>
        <w:pStyle w:val="Heading2"/>
      </w:pPr>
      <w:r>
        <w:rPr>
          <w:rFonts w:ascii="Times New Roman" w:hAnsi="Times New Roman"/>
        </w:rPr>
        <w:t>3. Bewertung der Unternehmensreaktion</w:t>
      </w:r>
    </w:p>
    <w:p>
      <w:pPr>
        <w:pStyle w:val="Heading3"/>
      </w:pPr>
      <w:r>
        <w:rPr>
          <w:rFonts w:ascii="Times New Roman" w:hAnsi="Times New Roman"/>
        </w:rPr>
        <w:t>3.1 Versäumnisse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Versäumnis</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Schwere</w:t>
            </w:r>
          </w:p>
        </w:tc>
      </w:tr>
      <w:tr>
        <w:tc>
          <w:tcPr>
            <w:tcW w:type="dxa" w:w="3024"/>
          </w:tcPr>
          <w:p>
            <w:r>
              <w:rPr>
                <w:rFonts w:ascii="Times New Roman" w:hAnsi="Times New Roman"/>
                <w:sz w:val="20"/>
              </w:rPr>
              <w:t>Keine Bearbeitung der Meldung</w:t>
            </w:r>
          </w:p>
        </w:tc>
        <w:tc>
          <w:tcPr>
            <w:tcW w:type="dxa" w:w="3024"/>
          </w:tcPr>
          <w:p>
            <w:r>
              <w:rPr>
                <w:rFonts w:ascii="Times New Roman" w:hAnsi="Times New Roman"/>
                <w:sz w:val="20"/>
              </w:rPr>
              <w:t>§ 17 Abs. 1 HinSchG</w:t>
            </w:r>
          </w:p>
        </w:tc>
        <w:tc>
          <w:tcPr>
            <w:tcW w:type="dxa" w:w="3024"/>
          </w:tcPr>
          <w:p>
            <w:r>
              <w:rPr>
                <w:rFonts w:ascii="Times New Roman" w:hAnsi="Times New Roman"/>
                <w:sz w:val="20"/>
              </w:rPr>
              <w:t>Mittel</w:t>
            </w:r>
          </w:p>
        </w:tc>
      </w:tr>
      <w:tr>
        <w:tc>
          <w:tcPr>
            <w:tcW w:type="dxa" w:w="3024"/>
          </w:tcPr>
          <w:p>
            <w:r>
              <w:rPr>
                <w:rFonts w:ascii="Times New Roman" w:hAnsi="Times New Roman"/>
                <w:sz w:val="20"/>
              </w:rPr>
              <w:t>Keine Rückmeldung an Hinweisgeber</w:t>
            </w:r>
          </w:p>
        </w:tc>
        <w:tc>
          <w:tcPr>
            <w:tcW w:type="dxa" w:w="3024"/>
          </w:tcPr>
          <w:p>
            <w:r>
              <w:rPr>
                <w:rFonts w:ascii="Times New Roman" w:hAnsi="Times New Roman"/>
                <w:sz w:val="20"/>
              </w:rPr>
              <w:t>§ 17 Abs. 2 HinSchG (3-Monats-Frist)</w:t>
            </w:r>
          </w:p>
        </w:tc>
        <w:tc>
          <w:tcPr>
            <w:tcW w:type="dxa" w:w="3024"/>
          </w:tcPr>
          <w:p>
            <w:r>
              <w:rPr>
                <w:rFonts w:ascii="Times New Roman" w:hAnsi="Times New Roman"/>
                <w:sz w:val="20"/>
              </w:rPr>
              <w:t>Mittel</w:t>
            </w:r>
          </w:p>
        </w:tc>
      </w:tr>
      <w:tr>
        <w:tc>
          <w:tcPr>
            <w:tcW w:type="dxa" w:w="3024"/>
          </w:tcPr>
          <w:p>
            <w:r>
              <w:rPr>
                <w:rFonts w:ascii="Times New Roman" w:hAnsi="Times New Roman"/>
                <w:sz w:val="20"/>
              </w:rPr>
              <w:t>Klassifizierung als „nicht pruefrelevant" ohne Pruefung</w:t>
            </w:r>
          </w:p>
        </w:tc>
        <w:tc>
          <w:tcPr>
            <w:tcW w:type="dxa" w:w="3024"/>
          </w:tcPr>
          <w:p>
            <w:r>
              <w:rPr>
                <w:rFonts w:ascii="Times New Roman" w:hAnsi="Times New Roman"/>
                <w:sz w:val="20"/>
              </w:rPr>
              <w:t>§ 16 HinSchG (Prüfpflicht)</w:t>
            </w:r>
          </w:p>
        </w:tc>
        <w:tc>
          <w:tcPr>
            <w:tcW w:type="dxa" w:w="3024"/>
          </w:tcPr>
          <w:p>
            <w:r>
              <w:rPr>
                <w:rFonts w:ascii="Times New Roman" w:hAnsi="Times New Roman"/>
                <w:sz w:val="20"/>
              </w:rPr>
              <w:t>Hoch</w:t>
            </w:r>
          </w:p>
        </w:tc>
      </w:tr>
      <w:tr>
        <w:tc>
          <w:tcPr>
            <w:tcW w:type="dxa" w:w="3024"/>
          </w:tcPr>
          <w:p>
            <w:r>
              <w:rPr>
                <w:rFonts w:ascii="Times New Roman" w:hAnsi="Times New Roman"/>
                <w:sz w:val="20"/>
              </w:rPr>
              <w:t>Mögliche Verschleierungsgefahr (interne Meldung ignoriert)</w:t>
            </w:r>
          </w:p>
        </w:tc>
        <w:tc>
          <w:tcPr>
            <w:tcW w:type="dxa" w:w="3024"/>
          </w:tcPr>
          <w:p>
            <w:r>
              <w:rPr>
                <w:rFonts w:ascii="Times New Roman" w:hAnsi="Times New Roman"/>
                <w:sz w:val="20"/>
              </w:rPr>
              <w:t>§ 27 HinSchG (Beweislast)</w:t>
            </w:r>
          </w:p>
        </w:tc>
        <w:tc>
          <w:tcPr>
            <w:tcW w:type="dxa" w:w="3024"/>
          </w:tcPr>
          <w:p>
            <w:r>
              <w:rPr>
                <w:rFonts w:ascii="Times New Roman" w:hAnsi="Times New Roman"/>
                <w:sz w:val="20"/>
              </w:rPr>
              <w:t>Hoch</w:t>
            </w:r>
          </w:p>
        </w:tc>
      </w:tr>
    </w:tbl>
    <w:p>
      <w:pPr>
        <w:pStyle w:val="Heading3"/>
      </w:pPr>
      <w:r>
        <w:rPr>
          <w:rFonts w:ascii="Times New Roman" w:hAnsi="Times New Roman"/>
        </w:rPr>
        <w:t>3.2 Ordnungswidrigkeitspotenzial</w:t>
      </w:r>
    </w:p>
    <w:p>
      <w:pPr>
        <w:jc w:val="left"/>
      </w:pPr>
      <w:r>
        <w:t>§ 40 HinSchG stellt Verstoesse gegen die Pflichten der §§ 12–17 HinSchG als Ordnungswidrigkeiten unter Bussgelder von bis zu 20.000 EUR (§ 40 Abs. 3 HinSchG). Für VCS kommen Verstoesse gegen § 17 (Rückmeldung) in Betracht.</w:t>
      </w:r>
    </w:p>
    <w:p/>
    <w:p>
      <w:pPr>
        <w:pStyle w:val="Heading2"/>
      </w:pPr>
      <w:r>
        <w:rPr>
          <w:rFonts w:ascii="Times New Roman" w:hAnsi="Times New Roman"/>
        </w:rPr>
        <w:t>4. Externe Meldung an LDI NRW</w:t>
      </w:r>
    </w:p>
    <w:p>
      <w:pPr>
        <w:jc w:val="left"/>
      </w:pPr>
      <w:r>
        <w:t>Die LDI NRW fungiert auch als externe Meldestelle nach HinSchG für Datenschutzverletzungen (§ 19 HinSchG i.V.m. § 2 Abs. 1 Nr. 11 HinSchG). Der anonyme Hinweis, den die LDI NRW am 03.12.2025 erhalten hat, könnte von demselben Hinweisgeber stammen — was die parallele externe Meldung erklärt.</w:t>
      </w:r>
    </w:p>
    <w:p>
      <w:pPr>
        <w:jc w:val="left"/>
      </w:pPr>
      <w:r>
        <w:rPr>
          <w:b/>
        </w:rPr>
        <w:t>Konsequenz:</w:t>
      </w:r>
      <w:r>
        <w:t xml:space="preserve"> Die externe Meldung an LDI NRW hat das Aufsichtsverfahren DSB-NW-44/26 mitausgeloest. Dies ist rechtmaessig.</w:t>
      </w:r>
    </w:p>
    <w:p/>
    <w:p>
      <w:pPr>
        <w:pStyle w:val="Heading2"/>
      </w:pPr>
      <w:r>
        <w:rPr>
          <w:rFonts w:ascii="Times New Roman" w:hAnsi="Times New Roman"/>
        </w:rPr>
        <w:t>5. Strategie gegenüber dem mutmasslichen Hinweisgeber</w:t>
      </w:r>
    </w:p>
    <w:p>
      <w:pPr>
        <w:pStyle w:val="Heading3"/>
      </w:pPr>
      <w:r>
        <w:rPr>
          <w:rFonts w:ascii="Times New Roman" w:hAnsi="Times New Roman"/>
        </w:rPr>
        <w:t>5.1 Identifizierungsverbot</w:t>
      </w:r>
    </w:p>
    <w:p>
      <w:pPr>
        <w:jc w:val="left"/>
      </w:pPr>
      <w:r>
        <w:t>VCS darf keine aktiven Massnahmen zur Identifizierung des Hinweisgebers ergreifen. Insbesondere:</w:t>
      </w:r>
    </w:p>
    <w:p>
      <w:pPr>
        <w:pStyle w:val="ListBullet"/>
      </w:pPr>
      <w:r>
        <w:t>Kein Abgleich des Meldungsinhalts mit Systemzugriffsprotokollen zur Identifizierung</w:t>
      </w:r>
    </w:p>
    <w:p>
      <w:pPr>
        <w:pStyle w:val="ListBullet"/>
      </w:pPr>
      <w:r>
        <w:t>Keine Befragung ehemaliger Mitarbeiter mit dem Ziel der Identifizierung</w:t>
      </w:r>
    </w:p>
    <w:p>
      <w:pPr>
        <w:pStyle w:val="ListBullet"/>
      </w:pPr>
      <w:r>
        <w:t>Keine arbeitsrechtlichen oder zivilrechtlichen Schritte gegen identifizierte Verdächtige ohne abgesicherten Nachweis einer Falschaussage (§ 37 HinSchG)</w:t>
      </w:r>
    </w:p>
    <w:p>
      <w:pPr>
        <w:pStyle w:val="Heading3"/>
      </w:pPr>
      <w:r>
        <w:rPr>
          <w:rFonts w:ascii="Times New Roman" w:hAnsi="Times New Roman"/>
        </w:rPr>
        <w:t>5.2 Meldungsinhalt verwenden</w:t>
      </w:r>
    </w:p>
    <w:p>
      <w:pPr>
        <w:jc w:val="left"/>
      </w:pPr>
      <w:r>
        <w:t>Paradoxerweise dient der Inhalt der HinSchG-Meldung als interner Aufklärungsanlass: VCS kann und soll die Information nutzen, um die Drittlandsuebermittlung (Art. 44 DSGVO) intern zu untersuchen und zu sanieren. Dies demonstriert der LDI NRW das Vorhandensein eines internen Compliance-Systems.</w:t>
      </w:r>
    </w:p>
    <w:p/>
    <w:p>
      <w:pPr>
        <w:pStyle w:val="Heading2"/>
      </w:pPr>
      <w:r>
        <w:rPr>
          <w:rFonts w:ascii="Times New Roman" w:hAnsi="Times New Roman"/>
        </w:rPr>
        <w:t>6. Mögliche Strafanzeige durch Hinweisgeber (§ 42 BDSG)</w:t>
      </w:r>
    </w:p>
    <w:p>
      <w:pPr>
        <w:jc w:val="left"/>
      </w:pPr>
      <w:r>
        <w:t>Es ist nicht auszuschliessen, dass der Hinweisgeber zusätzlich eine Strafanzeige nach § 42 BDSG wegen der Drittlandsuebermittlung bei der StA Essen eingereicht hat. Die StA Essen führt bereits ein Verfahren 12 Js 11.422/26 (hauptsächlich wegen des GF-Verhaltens, s. Akte 15). Eine Ausdehnung auf die institutionelle Drittlandsuebermittlung ist möglich.</w:t>
      </w:r>
    </w:p>
    <w:p>
      <w:pPr>
        <w:jc w:val="left"/>
      </w:pPr>
      <w:r>
        <w:rPr>
          <w:b/>
        </w:rPr>
        <w:t>Koordinationsmassnahme:</w:t>
      </w:r>
      <w:r>
        <w:t xml:space="preserve"> Strafverteidiger Dr. Ankermann wird über dieses Szenario informiert.</w:t>
      </w:r>
    </w:p>
    <w:p/>
    <w:p>
      <w:pPr>
        <w:pStyle w:val="Heading2"/>
      </w:pPr>
      <w:r>
        <w:rPr>
          <w:rFonts w:ascii="Times New Roman" w:hAnsi="Times New Roman"/>
        </w:rPr>
        <w:t>7. Handlungsempfehlungen</w:t>
      </w:r>
    </w:p>
    <w:p>
      <w:pPr>
        <w:pStyle w:val="ListNumber"/>
      </w:pPr>
      <w:r>
        <w:rPr>
          <w:b/>
        </w:rPr>
        <w:t>Meldungsbearbeitung nacholen:</w:t>
      </w:r>
      <w:r>
        <w:t xml:space="preserve"> Formale Pruefung der Meldung vom 08.11.2025 dokumentieren und rückwirkend archivieren</w:t>
      </w:r>
    </w:p>
    <w:p>
      <w:pPr>
        <w:pStyle w:val="ListNumber"/>
      </w:pPr>
      <w:r>
        <w:rPr>
          <w:b/>
        </w:rPr>
        <w:t>Rückmeldung:</w:t>
      </w:r>
      <w:r>
        <w:t xml:space="preserve"> Anonyme Rückmeldung über das Whistleblowing-Portal (soweit Hinweisgeber-Postfach noch aktiv): Meldung wurde geprüft, Massnahmen eingeleitet</w:t>
      </w:r>
    </w:p>
    <w:p>
      <w:pPr>
        <w:pStyle w:val="ListNumber"/>
      </w:pPr>
      <w:r>
        <w:rPr>
          <w:b/>
        </w:rPr>
        <w:t>HinSchG-Compliance-Training:</w:t>
      </w:r>
      <w:r>
        <w:t xml:space="preserve"> Schulung der internen Meldestelle (Frau Hoelzken-Rabe) zu HinSchG-Pflichten</w:t>
      </w:r>
    </w:p>
    <w:p>
      <w:pPr>
        <w:pStyle w:val="ListNumber"/>
      </w:pPr>
      <w:r>
        <w:rPr>
          <w:b/>
        </w:rPr>
        <w:t>Protokolldaten:</w:t>
      </w:r>
      <w:r>
        <w:t xml:space="preserve"> Keine Nutzung von System-Logs zur Identifizierung des Hinweisgebers</w:t>
      </w:r>
    </w:p>
    <w:p/>
    <w:p>
      <w:pPr>
        <w:pStyle w:val="Heading2"/>
      </w:pPr>
      <w:r>
        <w:rPr>
          <w:rFonts w:ascii="Times New Roman" w:hAnsi="Times New Roman"/>
        </w:rPr>
        <w:t>Quellen</w:t>
      </w:r>
    </w:p>
    <w:p>
      <w:pPr>
        <w:pStyle w:val="ListBullet"/>
      </w:pPr>
      <w:r>
        <w:t>HinSchG §§ 1, 2, 8, 12, 16, 17, 19, 36, 37, 40 — dejure.org/gesetze/HinSchG</w:t>
      </w:r>
    </w:p>
    <w:p>
      <w:pPr>
        <w:pStyle w:val="ListBullet"/>
      </w:pPr>
      <w:r>
        <w:t>EU-Whistleblower-Richtlinie 2019/1937 — eur-lex.europa.eu</w:t>
      </w:r>
    </w:p>
    <w:p>
      <w:pPr>
        <w:pStyle w:val="ListBullet"/>
      </w:pPr>
      <w:r>
        <w:t>BDSG § 42 — dejure.org/gesetze/BDSG</w:t>
      </w:r>
    </w:p>
    <w:p>
      <w:pPr>
        <w:pStyle w:val="ListBullet"/>
      </w:pPr>
      <w:r>
        <w:t>DSGVO Art. 44 ff. — dejure.org/gesetze/DSGVO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