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Strafrechtliche Verteidigung: § 42 BDSG</w:t>
      </w:r>
    </w:p>
    <w:p>
      <w:pPr>
        <w:jc w:val="left"/>
      </w:pPr>
      <w:r>
        <w:rPr>
          <w:b/>
        </w:rPr>
        <w:t>Aktenzeichen:</w:t>
      </w:r>
      <w:r>
        <w:t xml:space="preserve"> StA Essen 12 Js 11.422/26</w:t>
      </w:r>
    </w:p>
    <w:p>
      <w:pPr>
        <w:jc w:val="left"/>
      </w:pPr>
      <w:r>
        <w:rPr>
          <w:b/>
        </w:rPr>
        <w:t>Bearbeiter:</w:t>
      </w:r>
      <w:r>
        <w:t xml:space="preserve"> RA Dr. Cornelius Specht (koordiniert mit Strafverteidiger RA Dr. Robert Ankermann)</w:t>
      </w:r>
    </w:p>
    <w:p>
      <w:pPr>
        <w:jc w:val="left"/>
      </w:pPr>
      <w:r>
        <w:rPr>
          <w:b/>
        </w:rPr>
        <w:t>Datum:</w:t>
      </w:r>
      <w:r>
        <w:t xml:space="preserve"> 28. Januar 2026</w:t>
      </w:r>
    </w:p>
    <w:p>
      <w:pPr>
        <w:jc w:val="left"/>
      </w:pPr>
      <w:r>
        <w:rPr>
          <w:b/>
        </w:rPr>
        <w:t>Betreff:</w:t>
      </w:r>
      <w:r>
        <w:t xml:space="preserve"> Strafverteidigung GF Schimmelpfennig-Drosthager wegen § 42 BDSG</w:t>
      </w:r>
    </w:p>
    <w:p/>
    <w:p>
      <w:pPr>
        <w:pStyle w:val="Heading2"/>
      </w:pPr>
      <w:r>
        <w:rPr>
          <w:rFonts w:ascii="Times New Roman" w:hAnsi="Times New Roman"/>
        </w:rPr>
        <w:t>1. Verfahrensgrundlagen</w:t>
      </w:r>
    </w:p>
    <w:p>
      <w:pPr>
        <w:pStyle w:val="Heading3"/>
      </w:pPr>
      <w:r>
        <w:rPr>
          <w:rFonts w:ascii="Times New Roman" w:hAnsi="Times New Roman"/>
        </w:rPr>
        <w:t>1.1 § 42 BDSG — Straftatbestand</w:t>
      </w:r>
    </w:p>
    <w:p>
      <w:pPr>
        <w:jc w:val="left"/>
      </w:pPr>
      <w:r>
        <w:t>§ 42 BDSG statuiert Straftatbestände im Bereich des Datenschutzrechts:</w:t>
      </w:r>
    </w:p>
    <w:p>
      <w:pPr>
        <w:jc w:val="left"/>
      </w:pPr>
      <w:r>
        <w:rPr>
          <w:b/>
        </w:rPr>
        <w:t>§ 42 Abs. 1 BDSG:</w:t>
      </w:r>
    </w:p>
    <w:p>
      <w:pPr>
        <w:jc w:val="left"/>
      </w:pPr>
      <w:r>
        <w:t>Wer wissentlich nicht allgemein zugängliche personenbezogene Daten einer Person in der Absicht, sich oder einen Dritten zu bereichern oder die betroffene Person zu schädigen, unbefugt verarbeitet, wird mit Freiheitsstrafe bis zu zwei Jahren oder mit Geldstrafe bestraft.</w:t>
      </w:r>
    </w:p>
    <w:p>
      <w:pPr>
        <w:jc w:val="left"/>
      </w:pPr>
      <w:r>
        <w:rPr>
          <w:b/>
        </w:rPr>
        <w:t>§ 42 Abs. 2 BDSG:</w:t>
      </w:r>
    </w:p>
    <w:p>
      <w:pPr>
        <w:jc w:val="left"/>
      </w:pPr>
      <w:r>
        <w:t>Wer die im Abs. 1 bezeichneten Daten gegen Entgelt oder in der Absicht, sich oder Dritten zu bereichern oder Dritte zu schädigen, unbefugt verarbeitet, wird mit Freiheitsstrafe bis zu drei Jahren oder mit Geldstrafe bestraft.</w:t>
      </w:r>
    </w:p>
    <w:p>
      <w:pPr>
        <w:jc w:val="left"/>
      </w:pPr>
      <w:r>
        <w:rPr>
          <w:b/>
        </w:rPr>
        <w:t>Antragsdelikt:</w:t>
      </w:r>
      <w:r>
        <w:t xml:space="preserve"> § 42 Abs. 3 BDSG — Die Tat wird bei § 42 Abs. 1 nur auf Antrag verfolgt (Antragsdelikt). Bei § 42 Abs. 2 handelt es sich um ein Offizialdelikt (Strafverfolgung von Amts wegen).</w:t>
      </w:r>
    </w:p>
    <w:p/>
    <w:p>
      <w:pPr>
        <w:pStyle w:val="Heading2"/>
      </w:pPr>
      <w:r>
        <w:rPr>
          <w:rFonts w:ascii="Times New Roman" w:hAnsi="Times New Roman"/>
        </w:rPr>
        <w:t>2. Tatvorwurf im Verfahren 12 Js 11.422/26</w:t>
      </w:r>
    </w:p>
    <w:p>
      <w:pPr>
        <w:pStyle w:val="Heading3"/>
      </w:pPr>
      <w:r>
        <w:rPr>
          <w:rFonts w:ascii="Times New Roman" w:hAnsi="Times New Roman"/>
        </w:rPr>
        <w:t>2.1 Anklagesachverhalt (Zusammenfassung)</w:t>
      </w:r>
    </w:p>
    <w:p>
      <w:pPr>
        <w:jc w:val="left"/>
      </w:pPr>
      <w:r>
        <w:t>Die StA Essen hat folgende Tatvorwürfe formuliert:</w:t>
      </w:r>
    </w:p>
    <w:p>
      <w:pPr>
        <w:jc w:val="left"/>
      </w:pPr>
      <w:r>
        <w:t>GF Karl-Heinz Schimmelpfennig-Drosthager soll in der Zeit zwischen März 2023 und Dezember 2025 die in der VCS-Datenbank gespeicherten Daten von Mietinteressenten — darunter Bonitätsauskünfte, ProspectScores und Kontaktdaten — gezielt für eigene Zwecke genutzt haben, um für drei Wohnungen in Essen-Bredeney die idealen Mieter auszuwählen. Er soll Datenbankabfragen in der Produktionsumgebung persönlich durchgeführt haben (IP-Adresse des GF-Notebooks identifiziert) und auf dieser Grundlage drei Mietinteressenten bevorzugt und andere abgelehnt haben.</w:t>
      </w:r>
    </w:p>
    <w:p>
      <w:pPr>
        <w:jc w:val="left"/>
      </w:pPr>
      <w:r>
        <w:rPr>
          <w:b/>
        </w:rPr>
        <w:t>Konkrete Vorwürfe:</w:t>
      </w:r>
    </w:p>
    <w:p>
      <w:pPr>
        <w:pStyle w:val="ListNumber"/>
      </w:pPr>
      <w:r>
        <w:t>Direktabfragen der Kundendatenbank aus dem GF-Account (keine Vermittlerrolle — rein persönliche Eigennutzung)</w:t>
      </w:r>
    </w:p>
    <w:p>
      <w:pPr>
        <w:pStyle w:val="ListNumber"/>
      </w:pPr>
      <w:r>
        <w:t>Auswahl von Mietinteressenten nach ProspectScore und Beruf (Bevorzugung von Beamten und Festangestellten)</w:t>
      </w:r>
    </w:p>
    <w:p>
      <w:pPr>
        <w:pStyle w:val="ListNumber"/>
      </w:pPr>
      <w:r>
        <w:t>Weitergabe der Daten an keine weiteren Personen (kein Dritter profitiert)</w:t>
      </w:r>
    </w:p>
    <w:p>
      <w:pPr>
        <w:pStyle w:val="Heading3"/>
      </w:pPr>
      <w:r>
        <w:rPr>
          <w:rFonts w:ascii="Times New Roman" w:hAnsi="Times New Roman"/>
        </w:rPr>
        <w:t>2.2 Einschlägiger Tatbestand</w:t>
      </w:r>
    </w:p>
    <w:p>
      <w:pPr>
        <w:jc w:val="left"/>
      </w:pPr>
      <w:r>
        <w:rPr>
          <w:b/>
        </w:rPr>
        <w:t>§ 42 Abs. 2 BDSG:</w:t>
      </w:r>
      <w:r>
        <w:t xml:space="preserve"> Verarbeitung mit der Absicht, sich zu bereichern. Die Eigennutzung der Plattform zur Auswahl besserer Mieter (wirtschaftlicher Vorteil: niedrigeres Mietausfallrisiko) erfüllt den Begriff der Bereicherungsabsicht.</w:t>
      </w:r>
    </w:p>
    <w:p>
      <w:pPr>
        <w:jc w:val="left"/>
      </w:pPr>
      <w:r>
        <w:rPr>
          <w:b/>
        </w:rPr>
        <w:t>Strafrahmen:</w:t>
      </w:r>
      <w:r>
        <w:t xml:space="preserve"> Freiheitsstrafe bis zu drei Jahren oder Geldstrafe. Als Offizialdelikt wird das Verfahren von Amts wegen geführt.</w:t>
      </w:r>
    </w:p>
    <w:p/>
    <w:p>
      <w:pPr>
        <w:pStyle w:val="Heading2"/>
      </w:pPr>
      <w:r>
        <w:rPr>
          <w:rFonts w:ascii="Times New Roman" w:hAnsi="Times New Roman"/>
        </w:rPr>
        <w:t>3. Verteidigungsstrategie</w:t>
      </w:r>
    </w:p>
    <w:p>
      <w:pPr>
        <w:pStyle w:val="Heading3"/>
      </w:pPr>
      <w:r>
        <w:rPr>
          <w:rFonts w:ascii="Times New Roman" w:hAnsi="Times New Roman"/>
        </w:rPr>
        <w:t>3.1 Bestreiten des Vorsatzes</w:t>
      </w:r>
    </w:p>
    <w:p>
      <w:pPr>
        <w:jc w:val="left"/>
      </w:pPr>
      <w:r>
        <w:rPr>
          <w:b/>
        </w:rPr>
        <w:t>Argument A — Fehlende Bereicherungsabsicht:</w:t>
      </w:r>
    </w:p>
    <w:p>
      <w:pPr>
        <w:jc w:val="left"/>
      </w:pPr>
      <w:r>
        <w:t>Die Nutzung der eigenen Unternehmensplattform für private Wohnungsvermietung begrindet nicht zwingend eine Bereicherungsabsicht im Sinne des § 42 BDSG. Herr Schimmelpfennig-Drosthager hat die Plattform genutzt, die er selbst entwickelt hat. Die Vermietung von Wohnungen ist eine erlaubte private Tätigkeit; die Nutzung einer eigenen Datenbank dafür stellt subjektiv möglicherweise keine „unbefugte" Verarbeitung im Sinne des § 42 BDSG dar.</w:t>
      </w:r>
    </w:p>
    <w:p>
      <w:pPr>
        <w:jc w:val="left"/>
      </w:pPr>
      <w:r>
        <w:rPr>
          <w:b/>
        </w:rPr>
        <w:t>Argument B — Tatbestandsausschlusskrafte: „Unbefugt":</w:t>
      </w:r>
    </w:p>
    <w:p>
      <w:pPr>
        <w:jc w:val="left"/>
      </w:pPr>
      <w:r>
        <w:t>§ 42 BDSG setzt unbefugte Verarbeitung voraus. Schimmelpfennig-Drosthager als Geschäftsführer und wirtschaftlicher Eigentümer von VCS hat im weitesten Sinne eine Befugnis, auf die Daten zuzugreifen — jedenfalls aus seiner Sicht. Die Unbefugtheit muss ihm subjektiv bewusst gewesen sein. Dies ist zu bestreiten: Er hat möglicherweise irrig angenommen, als GF dürfe er die Firmendaten auch privat nutzen.</w:t>
      </w:r>
    </w:p>
    <w:p>
      <w:pPr>
        <w:jc w:val="left"/>
      </w:pPr>
      <w:r>
        <w:rPr>
          <w:b/>
        </w:rPr>
        <w:t>Strafrechtlicher Irrtum:</w:t>
      </w:r>
      <w:r>
        <w:t xml:space="preserve"> Verbotsirrtum § 17 StGB — Irrtum über die Rechtswidrigkeit der Tat. Pruefung: Hätte Schimmelpfennig-Drosthager bei zumutbarer Anstrengung die Unbefugtheit erkennen können? Als GF ohne juristischen Hintergrund und ohne Datenschutzberatung (DSB hatte nicht ausdrücklich auf § 42 BDSG hingewiesen): Argument für einen vermeidbaren Verbotsirrtum mit Strafmilderung.</w:t>
      </w:r>
    </w:p>
    <w:p>
      <w:pPr>
        <w:pStyle w:val="Heading3"/>
      </w:pPr>
      <w:r>
        <w:rPr>
          <w:rFonts w:ascii="Times New Roman" w:hAnsi="Times New Roman"/>
        </w:rPr>
        <w:t>3.2 Bestreiten des Tatbestandsmerkmals „nicht allgemein zugänglich"</w:t>
      </w:r>
    </w:p>
    <w:p>
      <w:pPr>
        <w:jc w:val="left"/>
      </w:pPr>
      <w:r>
        <w:t>Die Daten in der VCS-Datenbank stammen teilweise aus öffentlich zugänglichen Quellen (Beruf, Familienstatus — Selbstauskunft). Nur Schufa-Daten sind klar nicht allgemein zugänglich. Argument: Für Teile der Daten fehlt das Tatbestandsmerkmal.</w:t>
      </w:r>
    </w:p>
    <w:p>
      <w:pPr>
        <w:pStyle w:val="Heading3"/>
      </w:pPr>
      <w:r>
        <w:rPr>
          <w:rFonts w:ascii="Times New Roman" w:hAnsi="Times New Roman"/>
        </w:rPr>
        <w:t>3.3 Prozessuale Massnahmen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Massnahme</w:t>
            </w:r>
          </w:p>
        </w:tc>
        <w:tc>
          <w:tcPr>
            <w:tcW w:type="dxa" w:w="3024"/>
          </w:tcPr>
          <w:p>
            <w:r>
              <w:rPr>
                <w:rFonts w:ascii="Times New Roman" w:hAnsi="Times New Roman"/>
                <w:b/>
                <w:sz w:val="20"/>
              </w:rPr>
              <w:t>Rechtsgrundlage</w:t>
            </w:r>
          </w:p>
        </w:tc>
        <w:tc>
          <w:tcPr>
            <w:tcW w:type="dxa" w:w="3024"/>
          </w:tcPr>
          <w:p>
            <w:r>
              <w:rPr>
                <w:rFonts w:ascii="Times New Roman" w:hAnsi="Times New Roman"/>
                <w:b/>
                <w:sz w:val="20"/>
              </w:rPr>
              <w:t>Zeitpunkt</w:t>
            </w:r>
          </w:p>
        </w:tc>
      </w:tr>
      <w:tr>
        <w:tc>
          <w:tcPr>
            <w:tcW w:type="dxa" w:w="3024"/>
          </w:tcPr>
          <w:p>
            <w:r>
              <w:rPr>
                <w:rFonts w:ascii="Times New Roman" w:hAnsi="Times New Roman"/>
                <w:sz w:val="20"/>
              </w:rPr>
              <w:t>Akteneinsicht</w:t>
            </w:r>
          </w:p>
        </w:tc>
        <w:tc>
          <w:tcPr>
            <w:tcW w:type="dxa" w:w="3024"/>
          </w:tcPr>
          <w:p>
            <w:r>
              <w:rPr>
                <w:rFonts w:ascii="Times New Roman" w:hAnsi="Times New Roman"/>
                <w:sz w:val="20"/>
              </w:rPr>
              <w:t>§ 147 StPO</w:t>
            </w:r>
          </w:p>
        </w:tc>
        <w:tc>
          <w:tcPr>
            <w:tcW w:type="dxa" w:w="3024"/>
          </w:tcPr>
          <w:p>
            <w:r>
              <w:rPr>
                <w:rFonts w:ascii="Times New Roman" w:hAnsi="Times New Roman"/>
                <w:sz w:val="20"/>
              </w:rPr>
              <w:t>Sofort (RA Dr. Ankermann)</w:t>
            </w:r>
          </w:p>
        </w:tc>
      </w:tr>
      <w:tr>
        <w:tc>
          <w:tcPr>
            <w:tcW w:type="dxa" w:w="3024"/>
          </w:tcPr>
          <w:p>
            <w:r>
              <w:rPr>
                <w:rFonts w:ascii="Times New Roman" w:hAnsi="Times New Roman"/>
                <w:sz w:val="20"/>
              </w:rPr>
              <w:t>Schweigrecht Beschuldigter</w:t>
            </w:r>
          </w:p>
        </w:tc>
        <w:tc>
          <w:tcPr>
            <w:tcW w:type="dxa" w:w="3024"/>
          </w:tcPr>
          <w:p>
            <w:r>
              <w:rPr>
                <w:rFonts w:ascii="Times New Roman" w:hAnsi="Times New Roman"/>
                <w:sz w:val="20"/>
              </w:rPr>
              <w:t>§ 136 StPO</w:t>
            </w:r>
          </w:p>
        </w:tc>
        <w:tc>
          <w:tcPr>
            <w:tcW w:type="dxa" w:w="3024"/>
          </w:tcPr>
          <w:p>
            <w:r>
              <w:rPr>
                <w:rFonts w:ascii="Times New Roman" w:hAnsi="Times New Roman"/>
                <w:sz w:val="20"/>
              </w:rPr>
              <w:t>Durchgehend</w:t>
            </w:r>
          </w:p>
        </w:tc>
      </w:tr>
      <w:tr>
        <w:tc>
          <w:tcPr>
            <w:tcW w:type="dxa" w:w="3024"/>
          </w:tcPr>
          <w:p>
            <w:r>
              <w:rPr>
                <w:rFonts w:ascii="Times New Roman" w:hAnsi="Times New Roman"/>
                <w:sz w:val="20"/>
              </w:rPr>
              <w:t>Antrag auf Aussetzung bei Vorfragen (DSGVO)</w:t>
            </w:r>
          </w:p>
        </w:tc>
        <w:tc>
          <w:tcPr>
            <w:tcW w:type="dxa" w:w="3024"/>
          </w:tcPr>
          <w:p>
            <w:r>
              <w:rPr>
                <w:rFonts w:ascii="Times New Roman" w:hAnsi="Times New Roman"/>
                <w:sz w:val="20"/>
              </w:rPr>
              <w:t>§ 262 StPO</w:t>
            </w:r>
          </w:p>
        </w:tc>
        <w:tc>
          <w:tcPr>
            <w:tcW w:type="dxa" w:w="3024"/>
          </w:tcPr>
          <w:p>
            <w:r>
              <w:rPr>
                <w:rFonts w:ascii="Times New Roman" w:hAnsi="Times New Roman"/>
                <w:sz w:val="20"/>
              </w:rPr>
              <w:t>Ggf. nach Anklageerhebung</w:t>
            </w:r>
          </w:p>
        </w:tc>
      </w:tr>
      <w:tr>
        <w:tc>
          <w:tcPr>
            <w:tcW w:type="dxa" w:w="3024"/>
          </w:tcPr>
          <w:p>
            <w:r>
              <w:rPr>
                <w:rFonts w:ascii="Times New Roman" w:hAnsi="Times New Roman"/>
                <w:sz w:val="20"/>
              </w:rPr>
              <w:t>Antrag auf Strafbefehl statt Hauptverhandlung</w:t>
            </w:r>
          </w:p>
        </w:tc>
        <w:tc>
          <w:tcPr>
            <w:tcW w:type="dxa" w:w="3024"/>
          </w:tcPr>
          <w:p>
            <w:r>
              <w:rPr>
                <w:rFonts w:ascii="Times New Roman" w:hAnsi="Times New Roman"/>
                <w:sz w:val="20"/>
              </w:rPr>
              <w:t>§ 407 StPO</w:t>
            </w:r>
          </w:p>
        </w:tc>
        <w:tc>
          <w:tcPr>
            <w:tcW w:type="dxa" w:w="3024"/>
          </w:tcPr>
          <w:p>
            <w:r>
              <w:rPr>
                <w:rFonts w:ascii="Times New Roman" w:hAnsi="Times New Roman"/>
                <w:sz w:val="20"/>
              </w:rPr>
              <w:t>Bei Geständnis-Strategie</w:t>
            </w:r>
          </w:p>
        </w:tc>
      </w:tr>
      <w:tr>
        <w:tc>
          <w:tcPr>
            <w:tcW w:type="dxa" w:w="3024"/>
          </w:tcPr>
          <w:p>
            <w:r>
              <w:rPr>
                <w:rFonts w:ascii="Times New Roman" w:hAnsi="Times New Roman"/>
                <w:sz w:val="20"/>
              </w:rPr>
              <w:t>Revision bei Verurteilung</w:t>
            </w:r>
          </w:p>
        </w:tc>
        <w:tc>
          <w:tcPr>
            <w:tcW w:type="dxa" w:w="3024"/>
          </w:tcPr>
          <w:p>
            <w:r>
              <w:rPr>
                <w:rFonts w:ascii="Times New Roman" w:hAnsi="Times New Roman"/>
                <w:sz w:val="20"/>
              </w:rPr>
              <w:t>§ 333 StPO</w:t>
            </w:r>
          </w:p>
        </w:tc>
        <w:tc>
          <w:tcPr>
            <w:tcW w:type="dxa" w:w="3024"/>
          </w:tcPr>
          <w:p>
            <w:r>
              <w:rPr>
                <w:rFonts w:ascii="Times New Roman" w:hAnsi="Times New Roman"/>
                <w:sz w:val="20"/>
              </w:rPr>
              <w:t>Falls erforderlich</w:t>
            </w:r>
          </w:p>
        </w:tc>
      </w:tr>
    </w:tbl>
    <w:p/>
    <w:p>
      <w:pPr>
        <w:pStyle w:val="Heading2"/>
      </w:pPr>
      <w:r>
        <w:rPr>
          <w:rFonts w:ascii="Times New Roman" w:hAnsi="Times New Roman"/>
        </w:rPr>
        <w:t>4. Parallelverfahren und Selbstbelastungsfreiheit</w:t>
      </w:r>
    </w:p>
    <w:p>
      <w:pPr>
        <w:pStyle w:val="Heading3"/>
      </w:pPr>
      <w:r>
        <w:rPr>
          <w:rFonts w:ascii="Times New Roman" w:hAnsi="Times New Roman"/>
        </w:rPr>
        <w:t>4.1 Nemo-tenetur-Grundsatz</w:t>
      </w:r>
    </w:p>
    <w:p>
      <w:pPr>
        <w:jc w:val="left"/>
      </w:pPr>
      <w:r>
        <w:t>Der Beschuldigte Schimmelpfennig-Drosthager darf nicht gezwungen werden, sich im Aufsichtsverfahren (LDI NRW) oder im Zivilverfahren (VDuG) selbst zu belasten. Art. 6 EMRK, Art. 47 GRCh.</w:t>
      </w:r>
    </w:p>
    <w:p>
      <w:pPr>
        <w:jc w:val="left"/>
      </w:pPr>
      <w:r>
        <w:rPr>
          <w:b/>
        </w:rPr>
        <w:t>Massnahme:</w:t>
      </w:r>
      <w:r>
        <w:t xml:space="preserve"> Sämtliche Erklärungen gegenüber LDI NRW werden ausschliesslich durch RA Dr. Specht abgegeben, der sämtliche strafprozessual relevanten Informationen zurückhält. Der Beschuldigte persönlich gibt keine Erklärungen im Verwaltungsverfahren ab.</w:t>
      </w:r>
    </w:p>
    <w:p>
      <w:pPr>
        <w:pStyle w:val="Heading3"/>
      </w:pPr>
      <w:r>
        <w:rPr>
          <w:rFonts w:ascii="Times New Roman" w:hAnsi="Times New Roman"/>
        </w:rPr>
        <w:t>4.2 Verwertungsverbot</w:t>
      </w:r>
    </w:p>
    <w:p>
      <w:pPr>
        <w:jc w:val="left"/>
      </w:pPr>
      <w:r>
        <w:t>Erklärungen, die Schimmelpfennig-Drosthager gegenüber der LDI NRW ohne ordnungsgemäße Belehrung nach § 136 StPO gemacht hat, können im Strafverfahren einem Verwertungsverbot unterliegen. Dies ist mit RA Dr. Ankermann zu klären.</w:t>
      </w:r>
    </w:p>
    <w:p/>
    <w:p>
      <w:pPr>
        <w:pStyle w:val="Heading2"/>
      </w:pPr>
      <w:r>
        <w:rPr>
          <w:rFonts w:ascii="Times New Roman" w:hAnsi="Times New Roman"/>
        </w:rPr>
        <w:t>5. Sanktionsprognose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Szenario</w:t>
            </w:r>
          </w:p>
        </w:tc>
        <w:tc>
          <w:tcPr>
            <w:tcW w:type="dxa" w:w="4536"/>
          </w:tcPr>
          <w:p>
            <w:r>
              <w:rPr>
                <w:rFonts w:ascii="Times New Roman" w:hAnsi="Times New Roman"/>
                <w:b/>
                <w:sz w:val="20"/>
              </w:rPr>
              <w:t>Strafe</w:t>
            </w:r>
          </w:p>
        </w:tc>
      </w:tr>
      <w:tr>
        <w:tc>
          <w:tcPr>
            <w:tcW w:type="dxa" w:w="4536"/>
          </w:tcPr>
          <w:p>
            <w:r>
              <w:rPr>
                <w:rFonts w:ascii="Times New Roman" w:hAnsi="Times New Roman"/>
                <w:sz w:val="20"/>
              </w:rPr>
              <w:t>Geständnis + Kooperation + Verbotsirrtum</w:t>
            </w:r>
          </w:p>
        </w:tc>
        <w:tc>
          <w:tcPr>
            <w:tcW w:type="dxa" w:w="4536"/>
          </w:tcPr>
          <w:p>
            <w:r>
              <w:rPr>
                <w:rFonts w:ascii="Times New Roman" w:hAnsi="Times New Roman"/>
                <w:sz w:val="20"/>
              </w:rPr>
              <w:t>Geldstrafe 90–120 Tagessätze</w:t>
            </w:r>
          </w:p>
        </w:tc>
      </w:tr>
      <w:tr>
        <w:tc>
          <w:tcPr>
            <w:tcW w:type="dxa" w:w="4536"/>
          </w:tcPr>
          <w:p>
            <w:r>
              <w:rPr>
                <w:rFonts w:ascii="Times New Roman" w:hAnsi="Times New Roman"/>
                <w:sz w:val="20"/>
              </w:rPr>
              <w:t>Teilgeständnis + Milderungsgründe</w:t>
            </w:r>
          </w:p>
        </w:tc>
        <w:tc>
          <w:tcPr>
            <w:tcW w:type="dxa" w:w="4536"/>
          </w:tcPr>
          <w:p>
            <w:r>
              <w:rPr>
                <w:rFonts w:ascii="Times New Roman" w:hAnsi="Times New Roman"/>
                <w:sz w:val="20"/>
              </w:rPr>
              <w:t>Bewaahrungsstrafe 1 Jahr auf Bewährung</w:t>
            </w:r>
          </w:p>
        </w:tc>
      </w:tr>
      <w:tr>
        <w:tc>
          <w:tcPr>
            <w:tcW w:type="dxa" w:w="4536"/>
          </w:tcPr>
          <w:p>
            <w:r>
              <w:rPr>
                <w:rFonts w:ascii="Times New Roman" w:hAnsi="Times New Roman"/>
                <w:sz w:val="20"/>
              </w:rPr>
              <w:t>Bestreiten + Verurteilung</w:t>
            </w:r>
          </w:p>
        </w:tc>
        <w:tc>
          <w:tcPr>
            <w:tcW w:type="dxa" w:w="4536"/>
          </w:tcPr>
          <w:p>
            <w:r>
              <w:rPr>
                <w:rFonts w:ascii="Times New Roman" w:hAnsi="Times New Roman"/>
                <w:sz w:val="20"/>
              </w:rPr>
              <w:t>Freiheitsstrafe 1–2 Jahre (Bewährung bei erstem Täter)</w:t>
            </w:r>
          </w:p>
        </w:tc>
      </w:tr>
      <w:tr>
        <w:tc>
          <w:tcPr>
            <w:tcW w:type="dxa" w:w="4536"/>
          </w:tcPr>
          <w:p>
            <w:r>
              <w:rPr>
                <w:rFonts w:ascii="Times New Roman" w:hAnsi="Times New Roman"/>
                <w:sz w:val="20"/>
              </w:rPr>
              <w:t>Freispruch</w:t>
            </w:r>
          </w:p>
        </w:tc>
        <w:tc>
          <w:tcPr>
            <w:tcW w:type="dxa" w:w="4536"/>
          </w:tcPr>
          <w:p>
            <w:r>
              <w:rPr>
                <w:rFonts w:ascii="Times New Roman" w:hAnsi="Times New Roman"/>
                <w:sz w:val="20"/>
              </w:rPr>
              <w:t>Unklar — Beweislage ist gegen Angeklagten (IP-Logs)</w:t>
            </w:r>
          </w:p>
        </w:tc>
      </w:tr>
    </w:tbl>
    <w:p>
      <w:pPr>
        <w:jc w:val="left"/>
      </w:pPr>
      <w:r>
        <w:rPr>
          <w:b/>
        </w:rPr>
        <w:t>Empfehlung:</w:t>
      </w:r>
      <w:r>
        <w:t xml:space="preserve"> Hängt von forensischem Beweisstand ab. Nach Akteneinsicht detaillierte Bewertung.</w:t>
      </w:r>
    </w:p>
    <w:p/>
    <w:p>
      <w:pPr>
        <w:pStyle w:val="Heading2"/>
      </w:pPr>
      <w:r>
        <w:rPr>
          <w:rFonts w:ascii="Times New Roman" w:hAnsi="Times New Roman"/>
        </w:rPr>
        <w:t>6. Zivilrechtliche Absicherung</w:t>
      </w:r>
    </w:p>
    <w:p>
      <w:pPr>
        <w:jc w:val="left"/>
      </w:pPr>
      <w:r>
        <w:t>Für den Fall einer Verurteilung nach § 42 BDSG haftet VCS als Unternehmen zivilrechtlich für Schäden der Mietinteressenten, die durch die persönliche Nutzung des GF entstanden sind (§ 31 BGB — Vertreterhaftung). Diese Haftung lässt sich nicht auf den GF persönlich abwälzen, solange er im Rahmen seiner Organstellung handelte.</w:t>
      </w:r>
    </w:p>
    <w:p/>
    <w:p>
      <w:pPr>
        <w:pStyle w:val="Heading2"/>
      </w:pPr>
      <w:r>
        <w:rPr>
          <w:rFonts w:ascii="Times New Roman" w:hAnsi="Times New Roman"/>
        </w:rPr>
        <w:t>Quellen</w:t>
      </w:r>
    </w:p>
    <w:p>
      <w:pPr>
        <w:pStyle w:val="ListBullet"/>
      </w:pPr>
      <w:r>
        <w:t>BDSG § 42 — dejure.org/gesetze/BDSG</w:t>
      </w:r>
    </w:p>
    <w:p>
      <w:pPr>
        <w:pStyle w:val="ListBullet"/>
      </w:pPr>
      <w:r>
        <w:t>StGB § 17 (Verbotsirrtum) — dejure.org/gesetze/StGB</w:t>
      </w:r>
    </w:p>
    <w:p>
      <w:pPr>
        <w:pStyle w:val="ListBullet"/>
      </w:pPr>
      <w:r>
        <w:t>StPO §§ 136, 147, 262, 407 — dejure.org/gesetze/StPO</w:t>
      </w:r>
    </w:p>
    <w:p>
      <w:pPr>
        <w:pStyle w:val="ListBullet"/>
      </w:pPr>
      <w:r>
        <w:t>EMRK Art. 6 — dejure.org/gesetze/EMRK</w:t>
      </w:r>
    </w:p>
    <w:p>
      <w:pPr>
        <w:pStyle w:val="ListBullet"/>
      </w:pPr>
      <w:r>
        <w:t>BGB § 31 — dejure.org/gesetze/BGB</w:t>
      </w:r>
    </w:p>
    <w:p>
      <w:pPr>
        <w:pStyle w:val="ListBullet"/>
      </w:pPr>
      <w:r>
        <w:t>BGH, Urt. v. 20.02.2018 — 1 StR 436/17 (§ 42 BDSG alt) — 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