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16 — Auftragsverarbeitung: AVV Sundara Tech Pvt. Ltd.</w:t>
      </w:r>
    </w:p>
    <w:p>
      <w:pPr>
        <w:jc w:val="left"/>
      </w:pPr>
      <w:r>
        <w:rPr>
          <w:b/>
        </w:rPr>
        <w:t>Aktenzeichen:</w:t>
      </w:r>
      <w:r>
        <w:t xml:space="preserve"> DSB-NW-44/26 (verbunden)</w:t>
      </w:r>
    </w:p>
    <w:p>
      <w:pPr>
        <w:jc w:val="left"/>
      </w:pPr>
      <w:r>
        <w:rPr>
          <w:b/>
        </w:rPr>
        <w:t>Bearbeiter:</w:t>
      </w:r>
      <w:r>
        <w:t xml:space="preserve"> RA Lars Drosselberg, RAin Miriam Beckenbauer</w:t>
      </w:r>
    </w:p>
    <w:p>
      <w:pPr>
        <w:jc w:val="left"/>
      </w:pPr>
      <w:r>
        <w:rPr>
          <w:b/>
        </w:rPr>
        <w:t>Datum:</w:t>
      </w:r>
      <w:r>
        <w:t xml:space="preserve"> 29. Januar 2026</w:t>
      </w:r>
    </w:p>
    <w:p>
      <w:pPr>
        <w:jc w:val="left"/>
      </w:pPr>
      <w:r>
        <w:rPr>
          <w:b/>
        </w:rPr>
        <w:t>Betreff:</w:t>
      </w:r>
      <w:r>
        <w:t xml:space="preserve"> Analyse des AVV mit Sundara Tech und Sanierungsplan Auftragsverarbeitungsrecht</w:t>
      </w:r>
    </w:p>
    <w:p/>
    <w:p>
      <w:pPr>
        <w:pStyle w:val="Heading2"/>
      </w:pPr>
      <w:r>
        <w:rPr>
          <w:rFonts w:ascii="Times New Roman" w:hAnsi="Times New Roman"/>
        </w:rPr>
        <w:t>1. Rechtsrahmen Auftragsverarbeitung</w:t>
      </w:r>
    </w:p>
    <w:p>
      <w:pPr>
        <w:pStyle w:val="Heading3"/>
      </w:pPr>
      <w:r>
        <w:rPr>
          <w:rFonts w:ascii="Times New Roman" w:hAnsi="Times New Roman"/>
        </w:rPr>
        <w:t>1.1 Art. 28 DSGVO — Auftragsverarbeiter</w:t>
      </w:r>
    </w:p>
    <w:p>
      <w:pPr>
        <w:jc w:val="left"/>
      </w:pPr>
      <w:r>
        <w:t>Art. 28 Abs. 1 DSGVO: Wenn eine Verarbeitung im Auftrag eines Verantwortlichen erfolgt, arbeitet dieser nur mit Auftragsverarbeitern, die hinreichende Garantien dafür bieten, dass geeignete technische und organisatorische Massnahmen so durchgeführt werden, dass die Verarbeitung im Einklang mit den Anforderungen dieser Verordnung erfolgt.</w:t>
      </w:r>
    </w:p>
    <w:p>
      <w:pPr>
        <w:jc w:val="left"/>
      </w:pPr>
      <w:r>
        <w:t>Art. 28 Abs. 3 DSGVO: Die Verarbeitung durch einen Auftragsverarbeiter erfolgt auf der Grundlage eines Vertrags oder eines anderen Rechtsinstruments, der oder das den Auftragsverarbeiter in Bezug auf den Verantwortlichen bindet.</w:t>
      </w:r>
    </w:p>
    <w:p>
      <w:pPr>
        <w:jc w:val="left"/>
      </w:pPr>
      <w:r>
        <w:rPr>
          <w:b/>
        </w:rPr>
        <w:t>Pflichtinhalte des AVV (Art. 28 Abs. 3 lit. a–h DSGVO):</w:t>
      </w:r>
    </w:p>
    <w:p>
      <w:pPr>
        <w:pStyle w:val="ListBullet"/>
      </w:pPr>
      <w:r>
        <w:t>Bindung an Weisungen des Verantwortlichen</w:t>
      </w:r>
    </w:p>
    <w:p>
      <w:pPr>
        <w:pStyle w:val="ListBullet"/>
      </w:pPr>
      <w:r>
        <w:t>Vertraulichkeitspflichten</w:t>
      </w:r>
    </w:p>
    <w:p>
      <w:pPr>
        <w:pStyle w:val="ListBullet"/>
      </w:pPr>
      <w:r>
        <w:t>Geeignete technische und organisatorische Massnahmen (Art. 32 DSGVO)</w:t>
      </w:r>
    </w:p>
    <w:p>
      <w:pPr>
        <w:pStyle w:val="ListBullet"/>
      </w:pPr>
      <w:r>
        <w:t>Regelung über Unterauftragsverarbeiter</w:t>
      </w:r>
    </w:p>
    <w:p>
      <w:pPr>
        <w:pStyle w:val="ListBullet"/>
      </w:pPr>
      <w:r>
        <w:t>Unterstützung bei Betroffenenrechten</w:t>
      </w:r>
    </w:p>
    <w:p>
      <w:pPr>
        <w:pStyle w:val="ListBullet"/>
      </w:pPr>
      <w:r>
        <w:t>Löschung oder Rückgabe nach Auftragsende</w:t>
      </w:r>
    </w:p>
    <w:p>
      <w:pPr>
        <w:pStyle w:val="ListBullet"/>
      </w:pPr>
      <w:r>
        <w:t>Auskunfts- und Kontrollrechte</w:t>
      </w:r>
    </w:p>
    <w:p>
      <w:pPr>
        <w:pStyle w:val="ListBullet"/>
      </w:pPr>
      <w:r>
        <w:t>Nachweis der Konformitaet</w:t>
      </w:r>
    </w:p>
    <w:p/>
    <w:p>
      <w:pPr>
        <w:pStyle w:val="Heading2"/>
      </w:pPr>
      <w:r>
        <w:rPr>
          <w:rFonts w:ascii="Times New Roman" w:hAnsi="Times New Roman"/>
        </w:rPr>
        <w:t>2. Analyse des bestehenden AVV mit Sundara Tech</w:t>
      </w:r>
    </w:p>
    <w:p>
      <w:pPr>
        <w:pStyle w:val="Heading3"/>
      </w:pPr>
      <w:r>
        <w:rPr>
          <w:rFonts w:ascii="Times New Roman" w:hAnsi="Times New Roman"/>
        </w:rPr>
        <w:t>2.1 Zeitlinie des AVV-Abschlusses</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Ereignis</w:t>
            </w:r>
          </w:p>
        </w:tc>
      </w:tr>
      <w:tr>
        <w:tc>
          <w:tcPr>
            <w:tcW w:type="dxa" w:w="4536"/>
          </w:tcPr>
          <w:p>
            <w:r>
              <w:rPr>
                <w:rFonts w:ascii="Times New Roman" w:hAnsi="Times New Roman"/>
                <w:sz w:val="20"/>
              </w:rPr>
              <w:t>Okt 2022</w:t>
            </w:r>
          </w:p>
        </w:tc>
        <w:tc>
          <w:tcPr>
            <w:tcW w:type="dxa" w:w="4536"/>
          </w:tcPr>
          <w:p>
            <w:r>
              <w:rPr>
                <w:rFonts w:ascii="Times New Roman" w:hAnsi="Times New Roman"/>
                <w:sz w:val="20"/>
              </w:rPr>
              <w:t xml:space="preserve">Beginn Datentransfer an Sundara Tech — </w:t>
            </w:r>
            <w:r>
              <w:rPr>
                <w:rFonts w:ascii="Times New Roman" w:hAnsi="Times New Roman"/>
                <w:b/>
                <w:sz w:val="20"/>
              </w:rPr>
              <w:t>kein AVV</w:t>
            </w:r>
          </w:p>
        </w:tc>
      </w:tr>
      <w:tr>
        <w:tc>
          <w:tcPr>
            <w:tcW w:type="dxa" w:w="4536"/>
          </w:tcPr>
          <w:p>
            <w:r>
              <w:rPr>
                <w:rFonts w:ascii="Times New Roman" w:hAnsi="Times New Roman"/>
                <w:sz w:val="20"/>
              </w:rPr>
              <w:t>Dez 2023</w:t>
            </w:r>
          </w:p>
        </w:tc>
        <w:tc>
          <w:tcPr>
            <w:tcW w:type="dxa" w:w="4536"/>
          </w:tcPr>
          <w:p>
            <w:r>
              <w:rPr>
                <w:rFonts w:ascii="Times New Roman" w:hAnsi="Times New Roman"/>
                <w:sz w:val="20"/>
              </w:rPr>
              <w:t>Abschluss eines AVV (nachträglich, auf Initiative von DSB Kessler-Brandt)</w:t>
            </w:r>
          </w:p>
        </w:tc>
      </w:tr>
      <w:tr>
        <w:tc>
          <w:tcPr>
            <w:tcW w:type="dxa" w:w="4536"/>
          </w:tcPr>
          <w:p>
            <w:r>
              <w:rPr>
                <w:rFonts w:ascii="Times New Roman" w:hAnsi="Times New Roman"/>
                <w:sz w:val="20"/>
              </w:rPr>
              <w:t>Jan 2026</w:t>
            </w:r>
          </w:p>
        </w:tc>
        <w:tc>
          <w:tcPr>
            <w:tcW w:type="dxa" w:w="4536"/>
          </w:tcPr>
          <w:p>
            <w:r>
              <w:rPr>
                <w:rFonts w:ascii="Times New Roman" w:hAnsi="Times New Roman"/>
                <w:sz w:val="20"/>
              </w:rPr>
              <w:t>Analyse AVV durch RA Drosselberg</w:t>
            </w:r>
          </w:p>
        </w:tc>
      </w:tr>
    </w:tbl>
    <w:p>
      <w:pPr>
        <w:jc w:val="left"/>
      </w:pPr>
      <w:r>
        <w:rPr>
          <w:b/>
        </w:rPr>
        <w:t>Ergebnis:</w:t>
      </w:r>
      <w:r>
        <w:t xml:space="preserve"> Für den Zeitraum Oktober 2022 bis Dezember 2023 (14 Monate) erfolgte die Verarbeitung durch Sundara Tech ohne AVV — klarer Verstoss gegen Art. 28 Abs. 3 DSGVO.</w:t>
      </w:r>
    </w:p>
    <w:p>
      <w:pPr>
        <w:pStyle w:val="Heading3"/>
      </w:pPr>
      <w:r>
        <w:rPr>
          <w:rFonts w:ascii="Times New Roman" w:hAnsi="Times New Roman"/>
        </w:rPr>
        <w:t>2.2 Maeengel des AVV (Dezember 2023)</w:t>
      </w:r>
    </w:p>
    <w:p>
      <w:pPr>
        <w:jc w:val="left"/>
      </w:pPr>
      <w:r>
        <w:t>Gemäß Analyse des AVV-Dokuments (Zugang erhalten 15.01.2026) bestehen folgende Mängel:</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AVV-Klausel</w:t>
            </w:r>
          </w:p>
        </w:tc>
        <w:tc>
          <w:tcPr>
            <w:tcW w:type="dxa" w:w="3024"/>
          </w:tcPr>
          <w:p>
            <w:r>
              <w:rPr>
                <w:rFonts w:ascii="Times New Roman" w:hAnsi="Times New Roman"/>
                <w:b/>
                <w:sz w:val="20"/>
              </w:rPr>
              <w:t>Mängel</w:t>
            </w:r>
          </w:p>
        </w:tc>
        <w:tc>
          <w:tcPr>
            <w:tcW w:type="dxa" w:w="3024"/>
          </w:tcPr>
          <w:p>
            <w:r>
              <w:rPr>
                <w:rFonts w:ascii="Times New Roman" w:hAnsi="Times New Roman"/>
                <w:b/>
                <w:sz w:val="20"/>
              </w:rPr>
              <w:t>Bewertung</w:t>
            </w:r>
          </w:p>
        </w:tc>
      </w:tr>
      <w:tr>
        <w:tc>
          <w:tcPr>
            <w:tcW w:type="dxa" w:w="3024"/>
          </w:tcPr>
          <w:p>
            <w:r>
              <w:rPr>
                <w:rFonts w:ascii="Times New Roman" w:hAnsi="Times New Roman"/>
                <w:sz w:val="20"/>
              </w:rPr>
              <w:t>Art. 28 Abs. 3 lit. a (Weisungsbindung)</w:t>
            </w:r>
          </w:p>
        </w:tc>
        <w:tc>
          <w:tcPr>
            <w:tcW w:type="dxa" w:w="3024"/>
          </w:tcPr>
          <w:p>
            <w:r>
              <w:rPr>
                <w:rFonts w:ascii="Times New Roman" w:hAnsi="Times New Roman"/>
                <w:sz w:val="20"/>
              </w:rPr>
              <w:t>Nur allgemeine Weisungsbindung; keine Konkretisierung für Produktionsdaten</w:t>
            </w:r>
          </w:p>
        </w:tc>
        <w:tc>
          <w:tcPr>
            <w:tcW w:type="dxa" w:w="3024"/>
          </w:tcPr>
          <w:p>
            <w:r>
              <w:rPr>
                <w:rFonts w:ascii="Times New Roman" w:hAnsi="Times New Roman"/>
                <w:sz w:val="20"/>
              </w:rPr>
              <w:t>Unzureichend</w:t>
            </w:r>
          </w:p>
        </w:tc>
      </w:tr>
      <w:tr>
        <w:tc>
          <w:tcPr>
            <w:tcW w:type="dxa" w:w="3024"/>
          </w:tcPr>
          <w:p>
            <w:r>
              <w:rPr>
                <w:rFonts w:ascii="Times New Roman" w:hAnsi="Times New Roman"/>
                <w:sz w:val="20"/>
              </w:rPr>
              <w:t>Art. 28 Abs. 3 lit. b (Vertraulichkeit)</w:t>
            </w:r>
          </w:p>
        </w:tc>
        <w:tc>
          <w:tcPr>
            <w:tcW w:type="dxa" w:w="3024"/>
          </w:tcPr>
          <w:p>
            <w:r>
              <w:rPr>
                <w:rFonts w:ascii="Times New Roman" w:hAnsi="Times New Roman"/>
                <w:sz w:val="20"/>
              </w:rPr>
              <w:t>Vertraulichkeitspflicht vorhanden; aber kein Beendigungsprotokoll</w:t>
            </w:r>
          </w:p>
        </w:tc>
        <w:tc>
          <w:tcPr>
            <w:tcW w:type="dxa" w:w="3024"/>
          </w:tcPr>
          <w:p>
            <w:r>
              <w:rPr>
                <w:rFonts w:ascii="Times New Roman" w:hAnsi="Times New Roman"/>
                <w:sz w:val="20"/>
              </w:rPr>
              <w:t>Teiweise</w:t>
            </w:r>
          </w:p>
        </w:tc>
      </w:tr>
      <w:tr>
        <w:tc>
          <w:tcPr>
            <w:tcW w:type="dxa" w:w="3024"/>
          </w:tcPr>
          <w:p>
            <w:r>
              <w:rPr>
                <w:rFonts w:ascii="Times New Roman" w:hAnsi="Times New Roman"/>
                <w:sz w:val="20"/>
              </w:rPr>
              <w:t>Art. 28 Abs. 3 lit. c (TOM Art. 32)</w:t>
            </w:r>
          </w:p>
        </w:tc>
        <w:tc>
          <w:tcPr>
            <w:tcW w:type="dxa" w:w="3024"/>
          </w:tcPr>
          <w:p>
            <w:r>
              <w:rPr>
                <w:rFonts w:ascii="Times New Roman" w:hAnsi="Times New Roman"/>
                <w:sz w:val="20"/>
              </w:rPr>
              <w:t>Verweis auf ISO 27001, aber Sundara Tech nicht zertifiziert</w:t>
            </w:r>
          </w:p>
        </w:tc>
        <w:tc>
          <w:tcPr>
            <w:tcW w:type="dxa" w:w="3024"/>
          </w:tcPr>
          <w:p>
            <w:r>
              <w:rPr>
                <w:rFonts w:ascii="Times New Roman" w:hAnsi="Times New Roman"/>
                <w:sz w:val="20"/>
              </w:rPr>
              <w:t>Unzureichend</w:t>
            </w:r>
          </w:p>
        </w:tc>
      </w:tr>
      <w:tr>
        <w:tc>
          <w:tcPr>
            <w:tcW w:type="dxa" w:w="3024"/>
          </w:tcPr>
          <w:p>
            <w:r>
              <w:rPr>
                <w:rFonts w:ascii="Times New Roman" w:hAnsi="Times New Roman"/>
                <w:sz w:val="20"/>
              </w:rPr>
              <w:t>Art. 28 Abs. 3 lit. d (Unterauftragsverarbeiter)</w:t>
            </w:r>
          </w:p>
        </w:tc>
        <w:tc>
          <w:tcPr>
            <w:tcW w:type="dxa" w:w="3024"/>
          </w:tcPr>
          <w:p>
            <w:r>
              <w:rPr>
                <w:rFonts w:ascii="Times New Roman" w:hAnsi="Times New Roman"/>
                <w:sz w:val="20"/>
              </w:rPr>
              <w:t>Klausel fehlt — Sundara Tech nutzt AWS Mumbai (Drittland!)</w:t>
            </w:r>
          </w:p>
        </w:tc>
        <w:tc>
          <w:tcPr>
            <w:tcW w:type="dxa" w:w="3024"/>
          </w:tcPr>
          <w:p>
            <w:r>
              <w:rPr>
                <w:rFonts w:ascii="Times New Roman" w:hAnsi="Times New Roman"/>
                <w:sz w:val="20"/>
              </w:rPr>
              <w:t>Fehlt</w:t>
            </w:r>
          </w:p>
        </w:tc>
      </w:tr>
      <w:tr>
        <w:tc>
          <w:tcPr>
            <w:tcW w:type="dxa" w:w="3024"/>
          </w:tcPr>
          <w:p>
            <w:r>
              <w:rPr>
                <w:rFonts w:ascii="Times New Roman" w:hAnsi="Times New Roman"/>
                <w:sz w:val="20"/>
              </w:rPr>
              <w:t>Art. 28 Abs. 3 lit. e (Betroffenenrechte)</w:t>
            </w:r>
          </w:p>
        </w:tc>
        <w:tc>
          <w:tcPr>
            <w:tcW w:type="dxa" w:w="3024"/>
          </w:tcPr>
          <w:p>
            <w:r>
              <w:rPr>
                <w:rFonts w:ascii="Times New Roman" w:hAnsi="Times New Roman"/>
                <w:sz w:val="20"/>
              </w:rPr>
              <w:t>Kooperationspflicht vorhanden</w:t>
            </w:r>
          </w:p>
        </w:tc>
        <w:tc>
          <w:tcPr>
            <w:tcW w:type="dxa" w:w="3024"/>
          </w:tcPr>
          <w:p>
            <w:r>
              <w:rPr>
                <w:rFonts w:ascii="Times New Roman" w:hAnsi="Times New Roman"/>
                <w:sz w:val="20"/>
              </w:rPr>
              <w:t>Ausreichend</w:t>
            </w:r>
          </w:p>
        </w:tc>
      </w:tr>
      <w:tr>
        <w:tc>
          <w:tcPr>
            <w:tcW w:type="dxa" w:w="3024"/>
          </w:tcPr>
          <w:p>
            <w:r>
              <w:rPr>
                <w:rFonts w:ascii="Times New Roman" w:hAnsi="Times New Roman"/>
                <w:sz w:val="20"/>
              </w:rPr>
              <w:t>Art. 28 Abs. 3 lit. f (Löschung)</w:t>
            </w:r>
          </w:p>
        </w:tc>
        <w:tc>
          <w:tcPr>
            <w:tcW w:type="dxa" w:w="3024"/>
          </w:tcPr>
          <w:p>
            <w:r>
              <w:rPr>
                <w:rFonts w:ascii="Times New Roman" w:hAnsi="Times New Roman"/>
                <w:sz w:val="20"/>
              </w:rPr>
              <w:t>Kein Loeschungsprotokoll; Fristen unklar</w:t>
            </w:r>
          </w:p>
        </w:tc>
        <w:tc>
          <w:tcPr>
            <w:tcW w:type="dxa" w:w="3024"/>
          </w:tcPr>
          <w:p>
            <w:r>
              <w:rPr>
                <w:rFonts w:ascii="Times New Roman" w:hAnsi="Times New Roman"/>
                <w:sz w:val="20"/>
              </w:rPr>
              <w:t>Unzureichend</w:t>
            </w:r>
          </w:p>
        </w:tc>
      </w:tr>
      <w:tr>
        <w:tc>
          <w:tcPr>
            <w:tcW w:type="dxa" w:w="3024"/>
          </w:tcPr>
          <w:p>
            <w:r>
              <w:rPr>
                <w:rFonts w:ascii="Times New Roman" w:hAnsi="Times New Roman"/>
                <w:sz w:val="20"/>
              </w:rPr>
              <w:t>Art. 28 Abs. 3 lit. g (Nachweise)</w:t>
            </w:r>
          </w:p>
        </w:tc>
        <w:tc>
          <w:tcPr>
            <w:tcW w:type="dxa" w:w="3024"/>
          </w:tcPr>
          <w:p>
            <w:r>
              <w:rPr>
                <w:rFonts w:ascii="Times New Roman" w:hAnsi="Times New Roman"/>
                <w:sz w:val="20"/>
              </w:rPr>
              <w:t>Auditrecht vorhanden, aber nie ausgeübt</w:t>
            </w:r>
          </w:p>
        </w:tc>
        <w:tc>
          <w:tcPr>
            <w:tcW w:type="dxa" w:w="3024"/>
          </w:tcPr>
          <w:p>
            <w:r>
              <w:rPr>
                <w:rFonts w:ascii="Times New Roman" w:hAnsi="Times New Roman"/>
                <w:sz w:val="20"/>
              </w:rPr>
              <w:t>Formal ausreichend</w:t>
            </w:r>
          </w:p>
        </w:tc>
      </w:tr>
      <w:tr>
        <w:tc>
          <w:tcPr>
            <w:tcW w:type="dxa" w:w="3024"/>
          </w:tcPr>
          <w:p>
            <w:r>
              <w:rPr>
                <w:rFonts w:ascii="Times New Roman" w:hAnsi="Times New Roman"/>
                <w:sz w:val="20"/>
              </w:rPr>
              <w:t>Drittlandtransfer (Art. 46 DSGVO)</w:t>
            </w:r>
          </w:p>
        </w:tc>
        <w:tc>
          <w:tcPr>
            <w:tcW w:type="dxa" w:w="3024"/>
          </w:tcPr>
          <w:p>
            <w:r>
              <w:rPr>
                <w:rFonts w:ascii="Times New Roman" w:hAnsi="Times New Roman"/>
                <w:b/>
                <w:sz w:val="20"/>
              </w:rPr>
              <w:t>SCC fehlt vollständig</w:t>
            </w:r>
          </w:p>
        </w:tc>
        <w:tc>
          <w:tcPr>
            <w:tcW w:type="dxa" w:w="3024"/>
          </w:tcPr>
          <w:p>
            <w:r>
              <w:rPr>
                <w:rFonts w:ascii="Times New Roman" w:hAnsi="Times New Roman"/>
                <w:sz w:val="20"/>
              </w:rPr>
              <w:t>Fehlt vollständig</w:t>
            </w:r>
          </w:p>
        </w:tc>
      </w:tr>
    </w:tbl>
    <w:p>
      <w:pPr>
        <w:jc w:val="left"/>
      </w:pPr>
      <w:r>
        <w:rPr>
          <w:b/>
        </w:rPr>
        <w:t>Gesamtergebnis:</w:t>
      </w:r>
      <w:r>
        <w:t xml:space="preserve"> Der AVV ist in sechs von acht relevanten Bereichen unzureichend oder fehlerhaft. Ein vollständig sanierter AVV mit SCC ist zu erstellen.</w:t>
      </w:r>
    </w:p>
    <w:p/>
    <w:p>
      <w:pPr>
        <w:pStyle w:val="Heading2"/>
      </w:pPr>
      <w:r>
        <w:rPr>
          <w:rFonts w:ascii="Times New Roman" w:hAnsi="Times New Roman"/>
        </w:rPr>
        <w:t>3. Sanierungsplan AVV</w:t>
      </w:r>
    </w:p>
    <w:p>
      <w:pPr>
        <w:pStyle w:val="Heading3"/>
      </w:pPr>
      <w:r>
        <w:rPr>
          <w:rFonts w:ascii="Times New Roman" w:hAnsi="Times New Roman"/>
        </w:rPr>
        <w:t>3.1 Neuabschluss eines konformen AVV</w:t>
      </w:r>
    </w:p>
    <w:p>
      <w:pPr>
        <w:jc w:val="left"/>
      </w:pPr>
      <w:r>
        <w:t>Es wird empfohlen, den bestehenden AVV vollständig zu ersetzen durch:</w:t>
      </w:r>
    </w:p>
    <w:p>
      <w:pPr>
        <w:jc w:val="left"/>
      </w:pPr>
      <w:r>
        <w:rPr>
          <w:b/>
        </w:rPr>
        <w:t>Neuer AVV Sundara Tech v2.0 (Zieldokument):</w:t>
      </w:r>
    </w:p>
    <w:p>
      <w:pPr>
        <w:pStyle w:val="ListNumber"/>
      </w:pPr>
      <w:r>
        <w:t>Präzise Weisungsbindung für jeden Verarbeitungsschritt (ML-Training, Support-Zugriff, Entwicklung)</w:t>
      </w:r>
    </w:p>
    <w:p>
      <w:pPr>
        <w:pStyle w:val="ListNumber"/>
      </w:pPr>
      <w:r>
        <w:t>Vollständige Vertraulichkeitsverpflichtungen inklusive Beendigungsprotokoll</w:t>
      </w:r>
    </w:p>
    <w:p>
      <w:pPr>
        <w:pStyle w:val="ListNumber"/>
      </w:pPr>
      <w:r>
        <w:t>TOM-Anlage: Spezifische Sicherheitsanforderungen für Produktionsdaten (End-to-End-Verschlüsselung, Zugangsbeschränkung, Logging)</w:t>
      </w:r>
    </w:p>
    <w:p>
      <w:pPr>
        <w:pStyle w:val="ListNumber"/>
      </w:pPr>
      <w:r>
        <w:t>Unterauftragsverarbeiter-Regelung: Sundara Tech nutzt AWS Mumbai — eigene Unterauftragsverarbeitervertrag mit AWS India erforderlich</w:t>
      </w:r>
    </w:p>
    <w:p>
      <w:pPr>
        <w:pStyle w:val="ListNumber"/>
      </w:pPr>
      <w:r>
        <w:t>Betroffenenrechte-Prozess: Klarer Workflow für Weiterleitung von Auskunftsersuchen und Loeschungsantraegen</w:t>
      </w:r>
    </w:p>
    <w:p>
      <w:pPr>
        <w:pStyle w:val="ListNumber"/>
      </w:pPr>
      <w:r>
        <w:t>Loeschungsprotokoll: Definierte Fristen und Nachweispflichten</w:t>
      </w:r>
    </w:p>
    <w:p>
      <w:pPr>
        <w:jc w:val="left"/>
      </w:pPr>
      <w:r>
        <w:rPr>
          <w:b/>
        </w:rPr>
        <w:t>Drittlandabsicherung:</w:t>
      </w:r>
    </w:p>
    <w:p>
      <w:pPr>
        <w:pStyle w:val="ListNumber"/>
      </w:pPr>
      <w:r>
        <w:t>SCC (Modul 2: Controller-to-Processor) gemäß EU-Kommissionsbeschluss 2021/914</w:t>
      </w:r>
    </w:p>
    <w:p>
      <w:pPr>
        <w:pStyle w:val="ListNumber"/>
      </w:pPr>
      <w:r>
        <w:t>Transfer Impact Assessment (TIA) Indien</w:t>
      </w:r>
    </w:p>
    <w:p>
      <w:pPr>
        <w:pStyle w:val="ListNumber"/>
      </w:pPr>
      <w:r>
        <w:t>Zusatzmassnahmen: Pseudonymisierung aller Trainings-Datensätze vor Transfer</w:t>
      </w:r>
    </w:p>
    <w:p>
      <w:pPr>
        <w:pStyle w:val="Heading3"/>
      </w:pPr>
      <w:r>
        <w:rPr>
          <w:rFonts w:ascii="Times New Roman" w:hAnsi="Times New Roman"/>
        </w:rPr>
        <w:t>3.2 Zeitplan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Massnahme</w:t>
            </w:r>
          </w:p>
        </w:tc>
        <w:tc>
          <w:tcPr>
            <w:tcW w:type="dxa" w:w="3024"/>
          </w:tcPr>
          <w:p>
            <w:r>
              <w:rPr>
                <w:rFonts w:ascii="Times New Roman" w:hAnsi="Times New Roman"/>
                <w:b/>
                <w:sz w:val="20"/>
              </w:rPr>
              <w:t>Verantwortlich</w:t>
            </w:r>
          </w:p>
        </w:tc>
        <w:tc>
          <w:tcPr>
            <w:tcW w:type="dxa" w:w="3024"/>
          </w:tcPr>
          <w:p>
            <w:r>
              <w:rPr>
                <w:rFonts w:ascii="Times New Roman" w:hAnsi="Times New Roman"/>
                <w:b/>
                <w:sz w:val="20"/>
              </w:rPr>
              <w:t>Frist</w:t>
            </w:r>
          </w:p>
        </w:tc>
      </w:tr>
      <w:tr>
        <w:tc>
          <w:tcPr>
            <w:tcW w:type="dxa" w:w="3024"/>
          </w:tcPr>
          <w:p>
            <w:r>
              <w:rPr>
                <w:rFonts w:ascii="Times New Roman" w:hAnsi="Times New Roman"/>
                <w:sz w:val="20"/>
              </w:rPr>
              <w:t>Entwurf AVV v2.0</w:t>
            </w:r>
          </w:p>
        </w:tc>
        <w:tc>
          <w:tcPr>
            <w:tcW w:type="dxa" w:w="3024"/>
          </w:tcPr>
          <w:p>
            <w:r>
              <w:rPr>
                <w:rFonts w:ascii="Times New Roman" w:hAnsi="Times New Roman"/>
                <w:sz w:val="20"/>
              </w:rPr>
              <w:t>RA Drosselberg</w:t>
            </w:r>
          </w:p>
        </w:tc>
        <w:tc>
          <w:tcPr>
            <w:tcW w:type="dxa" w:w="3024"/>
          </w:tcPr>
          <w:p>
            <w:r>
              <w:rPr>
                <w:rFonts w:ascii="Times New Roman" w:hAnsi="Times New Roman"/>
                <w:sz w:val="20"/>
              </w:rPr>
              <w:t>10.02.2026</w:t>
            </w:r>
          </w:p>
        </w:tc>
      </w:tr>
      <w:tr>
        <w:tc>
          <w:tcPr>
            <w:tcW w:type="dxa" w:w="3024"/>
          </w:tcPr>
          <w:p>
            <w:r>
              <w:rPr>
                <w:rFonts w:ascii="Times New Roman" w:hAnsi="Times New Roman"/>
                <w:sz w:val="20"/>
              </w:rPr>
              <w:t>Abstimmung mit Sundara Tech</w:t>
            </w:r>
          </w:p>
        </w:tc>
        <w:tc>
          <w:tcPr>
            <w:tcW w:type="dxa" w:w="3024"/>
          </w:tcPr>
          <w:p>
            <w:r>
              <w:rPr>
                <w:rFonts w:ascii="Times New Roman" w:hAnsi="Times New Roman"/>
                <w:sz w:val="20"/>
              </w:rPr>
              <w:t>VCS Rechtsabteilung</w:t>
            </w:r>
          </w:p>
        </w:tc>
        <w:tc>
          <w:tcPr>
            <w:tcW w:type="dxa" w:w="3024"/>
          </w:tcPr>
          <w:p>
            <w:r>
              <w:rPr>
                <w:rFonts w:ascii="Times New Roman" w:hAnsi="Times New Roman"/>
                <w:sz w:val="20"/>
              </w:rPr>
              <w:t>20.02.2026</w:t>
            </w:r>
          </w:p>
        </w:tc>
      </w:tr>
      <w:tr>
        <w:tc>
          <w:tcPr>
            <w:tcW w:type="dxa" w:w="3024"/>
          </w:tcPr>
          <w:p>
            <w:r>
              <w:rPr>
                <w:rFonts w:ascii="Times New Roman" w:hAnsi="Times New Roman"/>
                <w:sz w:val="20"/>
              </w:rPr>
              <w:t>TIA Indien</w:t>
            </w:r>
          </w:p>
        </w:tc>
        <w:tc>
          <w:tcPr>
            <w:tcW w:type="dxa" w:w="3024"/>
          </w:tcPr>
          <w:p>
            <w:r>
              <w:rPr>
                <w:rFonts w:ascii="Times New Roman" w:hAnsi="Times New Roman"/>
                <w:sz w:val="20"/>
              </w:rPr>
              <w:t>extern: RA Mehta &amp; Associates</w:t>
            </w:r>
          </w:p>
        </w:tc>
        <w:tc>
          <w:tcPr>
            <w:tcW w:type="dxa" w:w="3024"/>
          </w:tcPr>
          <w:p>
            <w:r>
              <w:rPr>
                <w:rFonts w:ascii="Times New Roman" w:hAnsi="Times New Roman"/>
                <w:sz w:val="20"/>
              </w:rPr>
              <w:t>28.02.2026</w:t>
            </w:r>
          </w:p>
        </w:tc>
      </w:tr>
      <w:tr>
        <w:tc>
          <w:tcPr>
            <w:tcW w:type="dxa" w:w="3024"/>
          </w:tcPr>
          <w:p>
            <w:r>
              <w:rPr>
                <w:rFonts w:ascii="Times New Roman" w:hAnsi="Times New Roman"/>
                <w:sz w:val="20"/>
              </w:rPr>
              <w:t>Unterzeichnung AVV v2.0 + SCC</w:t>
            </w:r>
          </w:p>
        </w:tc>
        <w:tc>
          <w:tcPr>
            <w:tcW w:type="dxa" w:w="3024"/>
          </w:tcPr>
          <w:p>
            <w:r>
              <w:rPr>
                <w:rFonts w:ascii="Times New Roman" w:hAnsi="Times New Roman"/>
                <w:sz w:val="20"/>
              </w:rPr>
              <w:t>GF VCS + Sundara Tech CEO</w:t>
            </w:r>
          </w:p>
        </w:tc>
        <w:tc>
          <w:tcPr>
            <w:tcW w:type="dxa" w:w="3024"/>
          </w:tcPr>
          <w:p>
            <w:r>
              <w:rPr>
                <w:rFonts w:ascii="Times New Roman" w:hAnsi="Times New Roman"/>
                <w:sz w:val="20"/>
              </w:rPr>
              <w:t>05.03.2026</w:t>
            </w:r>
          </w:p>
        </w:tc>
      </w:tr>
      <w:tr>
        <w:tc>
          <w:tcPr>
            <w:tcW w:type="dxa" w:w="3024"/>
          </w:tcPr>
          <w:p>
            <w:r>
              <w:rPr>
                <w:rFonts w:ascii="Times New Roman" w:hAnsi="Times New Roman"/>
                <w:sz w:val="20"/>
              </w:rPr>
              <w:t>Loeschungsbestaetigung alte Daten</w:t>
            </w:r>
          </w:p>
        </w:tc>
        <w:tc>
          <w:tcPr>
            <w:tcW w:type="dxa" w:w="3024"/>
          </w:tcPr>
          <w:p>
            <w:r>
              <w:rPr>
                <w:rFonts w:ascii="Times New Roman" w:hAnsi="Times New Roman"/>
                <w:sz w:val="20"/>
              </w:rPr>
              <w:t>Sundara Tech</w:t>
            </w:r>
          </w:p>
        </w:tc>
        <w:tc>
          <w:tcPr>
            <w:tcW w:type="dxa" w:w="3024"/>
          </w:tcPr>
          <w:p>
            <w:r>
              <w:rPr>
                <w:rFonts w:ascii="Times New Roman" w:hAnsi="Times New Roman"/>
                <w:sz w:val="20"/>
              </w:rPr>
              <w:t>10.03.2026</w:t>
            </w:r>
          </w:p>
        </w:tc>
      </w:tr>
    </w:tbl>
    <w:p/>
    <w:p>
      <w:pPr>
        <w:pStyle w:val="Heading2"/>
      </w:pPr>
      <w:r>
        <w:rPr>
          <w:rFonts w:ascii="Times New Roman" w:hAnsi="Times New Roman"/>
        </w:rPr>
        <w:t>4. Haftung für Zeitraum ohne AVV (Okt 2022–Dez 2023)</w:t>
      </w:r>
    </w:p>
    <w:p>
      <w:pPr>
        <w:pStyle w:val="Heading3"/>
      </w:pPr>
      <w:r>
        <w:rPr>
          <w:rFonts w:ascii="Times New Roman" w:hAnsi="Times New Roman"/>
        </w:rPr>
        <w:t>4.1 Haftung VCS gegenüber Betroffenen</w:t>
      </w:r>
    </w:p>
    <w:p>
      <w:pPr>
        <w:jc w:val="left"/>
      </w:pPr>
      <w:r>
        <w:t>Für den Zeitraum ohne AVV haftet VCS als Verantwortlicher vollständig für alle Schäden, die durch die Verarbeitung bei Sundara Tech entstanden sind. Art. 82 Abs. 2 DSGVO sieht eine verschuldensunabhaengige Haftung vor; VCS kann sich nur durch Nachweis entlasten, dass sie in keinerlei Hinsicht für den Schaden verantwortlich sind (Art. 82 Abs. 3 DSGVO) — was angesichts des fehlenden AVV nicht möglich ist.</w:t>
      </w:r>
    </w:p>
    <w:p>
      <w:pPr>
        <w:pStyle w:val="Heading3"/>
      </w:pPr>
      <w:r>
        <w:rPr>
          <w:rFonts w:ascii="Times New Roman" w:hAnsi="Times New Roman"/>
        </w:rPr>
        <w:t>4.2 Regress gegen Sundara Tech</w:t>
      </w:r>
    </w:p>
    <w:p>
      <w:pPr>
        <w:jc w:val="left"/>
      </w:pPr>
      <w:r>
        <w:t>In dem Zeitraum ohne AVV ist Sundara Tech möglicherweise als eigenverantwortlicher Verantwortlicher einzustufen (kein AVV = kein Weisungsverhältnis). Gesamtschuldnerische Haftung VCS + Sundara Tech gemäß Art. 82 Abs. 4 DSGVO ist möglich. Der Regressanspruch VCS gegen Sundara Tech (Art. 82 Abs. 5 DSGVO) muss vertraglich gesichert werden.</w:t>
      </w:r>
    </w:p>
    <w:p>
      <w:pPr>
        <w:jc w:val="left"/>
      </w:pPr>
      <w:r>
        <w:rPr>
          <w:b/>
        </w:rPr>
        <w:t>Massnahme:</w:t>
      </w:r>
      <w:r>
        <w:t xml:space="preserve"> Einbeziehung von Regressklausel in AVV v2.0 für den historischen Zeitraum.</w:t>
      </w:r>
    </w:p>
    <w:p/>
    <w:p>
      <w:pPr>
        <w:pStyle w:val="Heading2"/>
      </w:pPr>
      <w:r>
        <w:rPr>
          <w:rFonts w:ascii="Times New Roman" w:hAnsi="Times New Roman"/>
        </w:rPr>
        <w:t>5. Unterauftragsverarbeiter-Kette: AWS Mumbai</w:t>
      </w:r>
    </w:p>
    <w:p>
      <w:pPr>
        <w:pStyle w:val="Heading3"/>
      </w:pPr>
      <w:r>
        <w:rPr>
          <w:rFonts w:ascii="Times New Roman" w:hAnsi="Times New Roman"/>
        </w:rPr>
        <w:t>5.1 Problem</w:t>
      </w:r>
    </w:p>
    <w:p>
      <w:pPr>
        <w:jc w:val="left"/>
      </w:pPr>
      <w:r>
        <w:t>Sundara Tech betreibt seine Entwicklungsinfrastruktur auf AWS Mumbai (ap-south-1 Region). Damit ergibt sich eine weitere Drittlandsuebermittlung (Indien → AWS in Indien — kein EU-Bezug). Da AWS Inc. ein US-Unternehmen ist, könnte auch US-Recht (CLOUD Act) relevant werden.</w:t>
      </w:r>
    </w:p>
    <w:p>
      <w:pPr>
        <w:pStyle w:val="Heading3"/>
      </w:pPr>
      <w:r>
        <w:rPr>
          <w:rFonts w:ascii="Times New Roman" w:hAnsi="Times New Roman"/>
        </w:rPr>
        <w:t>5.2 Lösungsansatz</w:t>
      </w:r>
    </w:p>
    <w:p>
      <w:pPr>
        <w:pStyle w:val="ListNumber"/>
      </w:pPr>
      <w:r>
        <w:t>AWS Mumbai als Unterauftragsverarbeiter in den AVV aufnehmen</w:t>
      </w:r>
    </w:p>
    <w:p>
      <w:pPr>
        <w:pStyle w:val="ListNumber"/>
      </w:pPr>
      <w:r>
        <w:t>Pruefung: AWS Datenverarbeitungsnachtrag (AWS DPA) + AWS SCC — AWS stellt diese standardmaessig bereit</w:t>
      </w:r>
    </w:p>
    <w:p>
      <w:pPr>
        <w:pStyle w:val="ListNumber"/>
      </w:pPr>
      <w:r>
        <w:t>Sicherstellung: Keine Speicherung der Produktionsdaten ausserhalb der EU/EWR ohne explizite Genehmigung</w:t>
      </w:r>
    </w:p>
    <w:p/>
    <w:p>
      <w:pPr>
        <w:pStyle w:val="Heading2"/>
      </w:pPr>
      <w:r>
        <w:rPr>
          <w:rFonts w:ascii="Times New Roman" w:hAnsi="Times New Roman"/>
        </w:rPr>
        <w:t>Quellen</w:t>
      </w:r>
    </w:p>
    <w:p>
      <w:pPr>
        <w:pStyle w:val="ListBullet"/>
      </w:pPr>
      <w:r>
        <w:t>DSGVO Art. 28, 32, 44, 46, 82 — dejure.org/gesetze/DSGVO</w:t>
      </w:r>
    </w:p>
    <w:p>
      <w:pPr>
        <w:pStyle w:val="ListBullet"/>
      </w:pPr>
      <w:r>
        <w:t>EU-Kommissionsbeschluss 2021/914 (SCC Modul 2) — eur-lex.europa.eu</w:t>
      </w:r>
    </w:p>
    <w:p>
      <w:pPr>
        <w:pStyle w:val="ListBullet"/>
      </w:pPr>
      <w:r>
        <w:t>EDSA-Leitlinien 07/2020 (Auftragsverarbeiter) — edpb.europa.eu</w:t>
      </w:r>
    </w:p>
    <w:p>
      <w:pPr>
        <w:pStyle w:val="ListBullet"/>
      </w:pPr>
      <w:r>
        <w:t>US CLOUD Act — congress.gov</w:t>
      </w:r>
    </w:p>
    <w:p>
      <w:pPr>
        <w:pStyle w:val="ListBullet"/>
      </w:pPr>
      <w:r>
        <w:t>OLG Duesseldorf, Urt. v. 22.03.2022 — I-15 U 2/21 (Auftragsverarbeitungsvertrag) — openjur.de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