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20 — Prozessstrategie und Gesamtkoordination</w:t>
      </w:r>
    </w:p>
    <w:p>
      <w:pPr>
        <w:jc w:val="left"/>
      </w:pPr>
      <w:r>
        <w:rPr>
          <w:b/>
        </w:rPr>
        <w:t>Aktenzeichen:</w:t>
      </w:r>
      <w:r>
        <w:t xml:space="preserve"> alle VCS-Aktenzeichen</w:t>
      </w:r>
    </w:p>
    <w:p>
      <w:pPr>
        <w:jc w:val="left"/>
      </w:pPr>
      <w:r>
        <w:rPr>
          <w:b/>
        </w:rPr>
        <w:t>Bearbeiter:</w:t>
      </w:r>
      <w:r>
        <w:t xml:space="preserve"> RA Dr. Cornelius Specht (federführend)</w:t>
      </w:r>
    </w:p>
    <w:p>
      <w:pPr>
        <w:jc w:val="left"/>
      </w:pPr>
      <w:r>
        <w:rPr>
          <w:b/>
        </w:rPr>
        <w:t>Datum:</w:t>
      </w:r>
      <w:r>
        <w:t xml:space="preserve"> 03. Februar 2026</w:t>
      </w:r>
    </w:p>
    <w:p>
      <w:pPr>
        <w:jc w:val="left"/>
      </w:pPr>
      <w:r>
        <w:rPr>
          <w:b/>
        </w:rPr>
        <w:t>Betreff:</w:t>
      </w:r>
      <w:r>
        <w:t xml:space="preserve"> Gesamtstrategie und Koordination sämtlicher Verfahren</w:t>
      </w:r>
    </w:p>
    <w:p/>
    <w:p>
      <w:pPr>
        <w:pStyle w:val="Heading2"/>
      </w:pPr>
      <w:r>
        <w:rPr>
          <w:rFonts w:ascii="Times New Roman" w:hAnsi="Times New Roman"/>
        </w:rPr>
        <w:t>1. Verfahrenslandkarte</w:t>
      </w:r>
    </w:p>
    <w:p>
      <w:pPr>
        <w:jc w:val="left"/>
      </w:pPr>
      <w:r>
        <w:t>Die Mandantin VCS befindet sich gleichzeitig in vier Hauptverfahren mit unterschiedlichen Rechtsnatur, Gegner und strategischen Konsequenzen:</w:t>
      </w:r>
    </w:p>
    <w:p>
      <w:pPr>
        <w:jc w:val="left"/>
      </w:pPr>
      <w:r>
        <w:t>```</w:t>
      </w:r>
    </w:p>
    <w:p>
      <w:pPr>
        <w:jc w:val="left"/>
      </w:pPr>
      <w:r>
        <w:t>VCS-Mandatsstruktur (Stand 03.02.2026)</w:t>
      </w:r>
    </w:p>
    <w:p>
      <w:pPr>
        <w:jc w:val="left"/>
      </w:pPr>
      <w:r>
        <w:t>VERWALTUNGSRECHT          ZIVILRECHT              STRAFRECHT</w:t>
      </w:r>
    </w:p>
    <w:p>
      <w:pPr>
        <w:jc w:val="left"/>
      </w:pPr>
      <w:r>
        <w:t>─────────────────         ──────────              ──────────</w:t>
      </w:r>
    </w:p>
    <w:p>
      <w:pPr>
        <w:jc w:val="left"/>
      </w:pPr>
      <w:r>
        <w:t>LDI NRW                   LG Essen                StA Essen</w:t>
      </w:r>
    </w:p>
    <w:p>
      <w:pPr>
        <w:jc w:val="left"/>
      </w:pPr>
      <w:r>
        <w:t>DSB-NW-44/26              18 Mass 4/26            12 Js 11.422/26</w:t>
      </w:r>
    </w:p>
    <w:p>
      <w:pPr>
        <w:jc w:val="left"/>
      </w:pPr>
      <w:r>
        <w:t>(VDuG-Sammelklage)</w:t>
      </w:r>
    </w:p>
    <w:p>
      <w:pPr>
        <w:jc w:val="left"/>
      </w:pPr>
      <w:r>
        <w:t>Aufsichtsverfahren        4 O 244/26              § 42 BDSG</w:t>
      </w:r>
    </w:p>
    <w:p>
      <w:pPr>
        <w:jc w:val="left"/>
      </w:pPr>
      <w:r>
        <w:t>Art. 58 DSGVO             (Tannenbruck)           Beschuldigter: GF</w:t>
      </w:r>
    </w:p>
    <w:p>
      <w:pPr>
        <w:jc w:val="left"/>
      </w:pPr>
      <w:r>
        <w:t>Behoerde: LDI NRW         Klaeger: VZ NRW +       Verfahren: Offizialdel.</w:t>
      </w:r>
    </w:p>
    <w:p>
      <w:pPr>
        <w:jc w:val="left"/>
      </w:pPr>
      <w:r>
        <w:t>Risiko: Bussgeld          Dr. Tannenbruck         Risiko: Freiheitsstrafe</w:t>
      </w:r>
    </w:p>
    <w:p>
      <w:pPr>
        <w:jc w:val="left"/>
      </w:pPr>
      <w:r>
        <w:t>bis 20 Mio. EUR           Risiko: 12.300.000 EUR  GF persoenlich</w:t>
      </w:r>
    </w:p>
    <w:p>
      <w:pPr>
        <w:jc w:val="left"/>
      </w:pPr>
      <w:r>
        <w:t>```</w:t>
      </w:r>
    </w:p>
    <w:p/>
    <w:p>
      <w:pPr>
        <w:pStyle w:val="Heading2"/>
      </w:pPr>
      <w:r>
        <w:rPr>
          <w:rFonts w:ascii="Times New Roman" w:hAnsi="Times New Roman"/>
        </w:rPr>
        <w:t>2. Strategische Leitlinien</w:t>
      </w:r>
    </w:p>
    <w:p>
      <w:pPr>
        <w:pStyle w:val="Heading3"/>
      </w:pPr>
      <w:r>
        <w:rPr>
          <w:rFonts w:ascii="Times New Roman" w:hAnsi="Times New Roman"/>
        </w:rPr>
        <w:t>2.1 Primaerziel: Unternehmenserhalt</w:t>
      </w:r>
    </w:p>
    <w:p>
      <w:pPr>
        <w:jc w:val="left"/>
      </w:pPr>
      <w:r>
        <w:t>Das primäre Ziel der Gesamtstrategie ist der wirtschaftliche Fortbestand von VCS. Ein Bussgeld von mehr als 3-4 Mio. EUR würde bei einem Jahresumsatz von ca. 4 Mio. EUR zur Insolvenz führen. Daher gilt:</w:t>
      </w:r>
    </w:p>
    <w:p>
      <w:pPr>
        <w:jc w:val="left"/>
      </w:pPr>
      <w:r>
        <w:rPr>
          <w:b/>
        </w:rPr>
        <w:t>Goldene Regel:</w:t>
      </w:r>
      <w:r>
        <w:t xml:space="preserve"> Jede Massnahme wird zuerst auf ihre Auswirkung auf das Bussgeldbemessungsverfahren geprüft. Kooperation mit LDI NRW hat höchste Priorität.</w:t>
      </w:r>
    </w:p>
    <w:p>
      <w:pPr>
        <w:pStyle w:val="Heading3"/>
      </w:pPr>
      <w:r>
        <w:rPr>
          <w:rFonts w:ascii="Times New Roman" w:hAnsi="Times New Roman"/>
        </w:rPr>
        <w:t>2.2 Sekundärziel: Schadensminimierung im Zivilrecht</w:t>
      </w:r>
    </w:p>
    <w:p>
      <w:pPr>
        <w:jc w:val="left"/>
      </w:pPr>
      <w:r>
        <w:t>Das Gesamtrisiko der Sammelklage (12.3 Mio. EUR) ist durch Vergleichsstrategie auf unter 1 Mio. EUR zu reduzieren.</w:t>
      </w:r>
    </w:p>
    <w:p>
      <w:pPr>
        <w:pStyle w:val="Heading3"/>
      </w:pPr>
      <w:r>
        <w:rPr>
          <w:rFonts w:ascii="Times New Roman" w:hAnsi="Times New Roman"/>
        </w:rPr>
        <w:t>2.3 Tertiaerziel: Strafverfahren — kein Haftantritt</w:t>
      </w:r>
    </w:p>
    <w:p>
      <w:pPr>
        <w:jc w:val="left"/>
      </w:pPr>
      <w:r>
        <w:t>Für den GF Schimmelpfennig-Drosthager ist das Ziel ein Strafbefehl oder Bewährungsstrafe, kein Haftantritt.</w:t>
      </w:r>
    </w:p>
    <w:p/>
    <w:p>
      <w:pPr>
        <w:pStyle w:val="Heading2"/>
      </w:pPr>
      <w:r>
        <w:rPr>
          <w:rFonts w:ascii="Times New Roman" w:hAnsi="Times New Roman"/>
        </w:rPr>
        <w:t>3. Verfahrenskoordination</w:t>
      </w:r>
    </w:p>
    <w:p>
      <w:pPr>
        <w:pStyle w:val="Heading3"/>
      </w:pPr>
      <w:r>
        <w:rPr>
          <w:rFonts w:ascii="Times New Roman" w:hAnsi="Times New Roman"/>
        </w:rPr>
        <w:t>3.1 Zeitachse und kritische Pfade</w:t>
      </w:r>
    </w:p>
    <w:p>
      <w:pPr>
        <w:jc w:val="left"/>
      </w:pPr>
      <w:r>
        <w:t>```</w:t>
      </w:r>
    </w:p>
    <w:p>
      <w:pPr>
        <w:jc w:val="left"/>
      </w:pPr>
      <w:r>
        <w:t>Jan 2026    Feb 2026    Mrz 2026    Apr 2026    Mai 2026</w:t>
      </w:r>
    </w:p>
    <w:p>
      <w:pPr>
        <w:jc w:val="left"/>
      </w:pPr>
      <w:r>
        <w:t>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t>DSFA Kick-  DSFA        Stellungn.  ISO Audit   Vergleich</w:t>
      </w:r>
    </w:p>
    <w:p>
      <w:pPr>
        <w:jc w:val="left"/>
      </w:pPr>
      <w:r>
        <w:t>off         fertig      LDI NRW     Stage-2     VDuG?</w:t>
      </w:r>
    </w:p>
    <w:p>
      <w:pPr>
        <w:jc w:val="left"/>
      </w:pPr>
      <w:r>
        <w:t>Auskunft    SCC         Klageerwid. Bussgeld?   Verfahren?</w:t>
      </w:r>
    </w:p>
    <w:p>
      <w:pPr>
        <w:jc w:val="left"/>
      </w:pPr>
      <w:r>
        <w:t>Tannenbr.   Sundara     VDuG        LDI NRW</w:t>
      </w:r>
    </w:p>
    <w:p>
      <w:pPr>
        <w:jc w:val="left"/>
      </w:pPr>
      <w:r>
        <w:t>```</w:t>
      </w:r>
    </w:p>
    <w:p>
      <w:pPr>
        <w:jc w:val="left"/>
      </w:pPr>
      <w:r>
        <w:rPr>
          <w:b/>
        </w:rPr>
        <w:t>Kritischer Pfad 1 — LDI NRW:</w:t>
      </w:r>
    </w:p>
    <w:p>
      <w:pPr>
        <w:jc w:val="left"/>
      </w:pPr>
      <w:r>
        <w:t>Stellungnahme 28.02.2026 → LDI-Pruefung ca. 3 Monate → Bescheid ca. Juni 2026.</w:t>
      </w:r>
    </w:p>
    <w:p>
      <w:pPr>
        <w:jc w:val="left"/>
      </w:pPr>
      <w:r>
        <w:rPr>
          <w:b/>
        </w:rPr>
        <w:t>Kritischer Pfad 2 — VDuG:</w:t>
      </w:r>
    </w:p>
    <w:p>
      <w:pPr>
        <w:jc w:val="left"/>
      </w:pPr>
      <w:r>
        <w:t>Klageerwiderung 15.03.2026 → Feststellungsurteil ca. 12-18 Monate (komplexes Massenverfahren).</w:t>
      </w:r>
    </w:p>
    <w:p>
      <w:pPr>
        <w:jc w:val="left"/>
      </w:pPr>
      <w:r>
        <w:rPr>
          <w:b/>
        </w:rPr>
        <w:t>Kritischer Pfad 3 — StA Essen:</w:t>
      </w:r>
    </w:p>
    <w:p>
      <w:pPr>
        <w:jc w:val="left"/>
      </w:pPr>
      <w:r>
        <w:t>Akteneinsicht Feb 2026 → Anklageerhebung? → Hauptverhandlung ca. Herbst 2026.</w:t>
      </w:r>
    </w:p>
    <w:p>
      <w:pPr>
        <w:pStyle w:val="Heading3"/>
      </w:pPr>
      <w:r>
        <w:rPr>
          <w:rFonts w:ascii="Times New Roman" w:hAnsi="Times New Roman"/>
        </w:rPr>
        <w:t>3.2 Informationsfluss-Steuerung</w:t>
      </w:r>
    </w:p>
    <w:p>
      <w:pPr>
        <w:jc w:val="left"/>
      </w:pPr>
      <w:r>
        <w:t>Sämtliche öffentlichen Kommunikationsakte von VCS werden zentriert durch RA Dr. Specht koordiniert: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Kommunikationskanal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Freigabe durch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Erklärungen LDI NRW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Dr. Specht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Dr. Specht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Schriftsätze LG Essen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RAin Beckenbauer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Dr. Specht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Strafverfahren StA Essen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Dr. Ankermann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Dr. Ankermann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Presseanfragen NDR/Buch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PR-Beratung (Mediator GmbH)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Dr. Specht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Auskunftsersuchen Betroffene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DSB Kessler-Brandt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Dr. Specht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Mitarbeiterkommunikation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GF (nach Freigabe)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Dr. Specht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3.3 Wechselwirkungen und 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Massnahme 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Wechselwirkung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Vollgeständnis bei LDI NRW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Stiftet Beweise für VDuG-Kläger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Längeres Schweigen bei LDI NRW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Kooperations-Milderungsgrund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GF Aussage im Strafverfahren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Selbstbelastung im DSGVO-Verfahren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Vergleich VDuG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Kann als Schuldanerkenntnis gewertet werden (Formulierung beachten)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NDR-Interview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Falsche Aussagen = neues 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PR-Kommunikationsstrategie</w:t>
      </w:r>
    </w:p>
    <w:p>
      <w:pPr>
        <w:pStyle w:val="Heading3"/>
      </w:pPr>
      <w:r>
        <w:rPr>
          <w:rFonts w:ascii="Times New Roman" w:hAnsi="Times New Roman"/>
        </w:rPr>
        <w:t>4.1 Medienumfeld</w:t>
      </w:r>
    </w:p>
    <w:p>
      <w:pPr>
        <w:pStyle w:val="ListBullet"/>
      </w:pPr>
      <w:r>
        <w:t>NDR Panorama plant eine Sendung über KI-Profiling im Mietmarkt (Felix Kaltenbach)</w:t>
      </w:r>
    </w:p>
    <w:p>
      <w:pPr>
        <w:pStyle w:val="ListBullet"/>
      </w:pPr>
      <w:r>
        <w:t>Wibke Drostermann: Buch erscheint März 2026 bei Rowohlt</w:t>
      </w:r>
    </w:p>
    <w:p>
      <w:pPr>
        <w:pStyle w:val="ListBullet"/>
      </w:pPr>
      <w:r>
        <w:t>Dr. Tannenbruck: Wissenschaftliche Veröffentlichung zur algorithmischen Diskriminierung geplant</w:t>
      </w:r>
    </w:p>
    <w:p>
      <w:pPr>
        <w:pStyle w:val="Heading3"/>
      </w:pPr>
      <w:r>
        <w:rPr>
          <w:rFonts w:ascii="Times New Roman" w:hAnsi="Times New Roman"/>
        </w:rPr>
        <w:t>4.2 Kommunikationsprinzipien</w:t>
      </w:r>
    </w:p>
    <w:p>
      <w:pPr>
        <w:jc w:val="left"/>
      </w:pPr>
      <w:r>
        <w:rPr>
          <w:b/>
        </w:rPr>
        <w:t>Prinzip 1 — Proaktive Transparenz mit Mass:</w:t>
      </w:r>
      <w:r>
        <w:t xml:space="preserve"> Freiwillige Kommunikation über bereits eingeleitete Massnahmen, ohne Sachverhalte zu schaffen, die noch Gegenstand laufender Verfahren sind.</w:t>
      </w:r>
    </w:p>
    <w:p>
      <w:pPr>
        <w:jc w:val="left"/>
      </w:pPr>
      <w:r>
        <w:rPr>
          <w:b/>
        </w:rPr>
        <w:t>Prinzip 2 — Keine öffentliche Schuldanerkenntnis:</w:t>
      </w:r>
      <w:r>
        <w:t xml:space="preserve"> Formulierungen wie „wir bedauern den Vorfall" statt „wir erkennen den Verstoss an".</w:t>
      </w:r>
    </w:p>
    <w:p>
      <w:pPr>
        <w:jc w:val="left"/>
      </w:pPr>
      <w:r>
        <w:rPr>
          <w:b/>
        </w:rPr>
        <w:t>Prinzip 3 — Menschliches Gesicht:</w:t>
      </w:r>
      <w:r>
        <w:t xml:space="preserve"> GF Schimmelpfennig-Drosthager kommuniziert persönlich (nach Freigabe) Sanierungsmassnahmen. Kein Verstecken hinter Unternehmensprosa.</w:t>
      </w:r>
    </w:p>
    <w:p>
      <w:pPr>
        <w:jc w:val="left"/>
      </w:pPr>
      <w:r>
        <w:rPr>
          <w:b/>
        </w:rPr>
        <w:t>Prinzip 4 — Kein Angriff auf Journalisten/Betroffene:</w:t>
      </w:r>
      <w:r>
        <w:t xml:space="preserve"> Keine öffentliche Auseinandersetzung mit Kaltenbach, Drostermann oder Tannenbruck.</w:t>
      </w:r>
    </w:p>
    <w:p>
      <w:pPr>
        <w:pStyle w:val="Heading3"/>
      </w:pPr>
      <w:r>
        <w:rPr>
          <w:rFonts w:ascii="Times New Roman" w:hAnsi="Times New Roman"/>
        </w:rPr>
        <w:t>4.3 Geplante PR-Massnahme (Zeitpunkt: nach Einreichung Stellungnahme LDI NRW)</w:t>
      </w:r>
    </w:p>
    <w:p>
      <w:pPr>
        <w:jc w:val="left"/>
      </w:pPr>
      <w:r>
        <w:t>Pressemitteilung: „VermieterCheck stärkt Datenschutz — Umfassende Compliance-Offensive eingeleitet"</w:t>
      </w:r>
    </w:p>
    <w:p>
      <w:pPr>
        <w:pStyle w:val="ListBullet"/>
      </w:pPr>
      <w:r>
        <w:t>Massnahmen benennen (DSFA, SCC, Betroffenenportal)</w:t>
      </w:r>
    </w:p>
    <w:p>
      <w:pPr>
        <w:pStyle w:val="ListBullet"/>
      </w:pPr>
      <w:r>
        <w:t>Keine konkreten Verfahrensaussagen</w:t>
      </w:r>
    </w:p>
    <w:p>
      <w:pPr>
        <w:pStyle w:val="ListBullet"/>
      </w:pPr>
      <w:r>
        <w:t>Freigabe: RA Dr. Specht</w:t>
      </w:r>
    </w:p>
    <w:p/>
    <w:p>
      <w:pPr>
        <w:pStyle w:val="Heading2"/>
      </w:pPr>
      <w:r>
        <w:rPr>
          <w:rFonts w:ascii="Times New Roman" w:hAnsi="Times New Roman"/>
        </w:rPr>
        <w:t>5. Mandatsinterne Koordinationstreffen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Termin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Thema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Teilnehmer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Gesamtstrategie-Review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SBD-Team + GF VCS + DSB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DSFA-Status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RAin Beckenbauer + Kessler-Brandt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Stellungnahme LDI NRW (Entwurf)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Dr. Specht + VCS-GF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26.02.2026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Klageerwiderung VDuG (Entwurf)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RAin Beckenbauer + VCS-GF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StA-Koordination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Dr. Specht + RA Dr. Ankermann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6. Dokumentationspflichten</w:t>
      </w:r>
    </w:p>
    <w:p>
      <w:pPr>
        <w:jc w:val="left"/>
      </w:pPr>
      <w:r>
        <w:t>Im Rahmen der anwaltlichen Sorgfaltspflicht (§ 11 BORA) und für Regressabsicherung sind alle Beratungs- und Verfahrenshandlungen vollständig zu dokumentieren:</w:t>
      </w:r>
    </w:p>
    <w:p>
      <w:pPr>
        <w:pStyle w:val="ListBullet"/>
      </w:pPr>
      <w:r>
        <w:t>Jedes Mandantengespraech: Protokoll (elektronisch, DSGVO-konform verschlüsselt)</w:t>
      </w:r>
    </w:p>
    <w:p>
      <w:pPr>
        <w:pStyle w:val="ListBullet"/>
      </w:pPr>
      <w:r>
        <w:t>Alle Fristen: Fristenkalender in DATEV Anwalt online</w:t>
      </w:r>
    </w:p>
    <w:p>
      <w:pPr>
        <w:pStyle w:val="ListBullet"/>
      </w:pPr>
      <w:r>
        <w:t>Alle Schriftsätze: Versionsverwaltung mit Git in der Kanzlei-IT</w:t>
      </w:r>
    </w:p>
    <w:p>
      <w:pPr>
        <w:pStyle w:val="ListBullet"/>
      </w:pPr>
      <w:r>
        <w:t>Alle Korrespondenzen mit LDI NRW und Gerichten: Beglaubigte Kopien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DSGVO Art. 58, 83 — dejure.org/gesetze/DSGVO</w:t>
      </w:r>
    </w:p>
    <w:p>
      <w:pPr>
        <w:pStyle w:val="ListBullet"/>
      </w:pPr>
      <w:r>
        <w:t>VDuG — dejure.org/gesetze/VDuG</w:t>
      </w:r>
    </w:p>
    <w:p>
      <w:pPr>
        <w:pStyle w:val="ListBullet"/>
      </w:pPr>
      <w:r>
        <w:t>BDSG § 42 — dejure.org/gesetze/BDSG</w:t>
      </w:r>
    </w:p>
    <w:p>
      <w:pPr>
        <w:pStyle w:val="ListBullet"/>
      </w:pPr>
      <w:r>
        <w:t>BORA § 11 (Dokumentationspflichten) — brak.de</w:t>
      </w:r>
    </w:p>
    <w:p>
      <w:pPr>
        <w:pStyle w:val="ListBullet"/>
      </w:pPr>
      <w:r>
        <w:t>VwGO §§ 42, 68, 80 — dejure.org/gesetze/VwGO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