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Verfassungsbeschwerde-Skizze gegen Bussgeldbescheid</w:t>
      </w:r>
    </w:p>
    <w:p>
      <w:pPr>
        <w:jc w:val="left"/>
      </w:pPr>
      <w:r>
        <w:rPr>
          <w:b/>
        </w:rPr>
        <w:t>Aktenzeichen:</w:t>
      </w:r>
      <w:r>
        <w:t xml:space="preserve"> DSB-NW-44/26 (Voraussetzung: Erschöpfung des Rechtswegs)</w:t>
      </w:r>
    </w:p>
    <w:p>
      <w:pPr>
        <w:jc w:val="left"/>
      </w:pPr>
      <w:r>
        <w:rPr>
          <w:b/>
        </w:rPr>
        <w:t>Bearbeiter:</w:t>
      </w:r>
      <w:r>
        <w:t xml:space="preserve"> RA Dr. Cornelius Specht</w:t>
      </w:r>
    </w:p>
    <w:p>
      <w:pPr>
        <w:jc w:val="left"/>
      </w:pPr>
      <w:r>
        <w:rPr>
          <w:b/>
        </w:rPr>
        <w:t>Datum:</w:t>
      </w:r>
      <w:r>
        <w:t xml:space="preserve"> 05. Februar 2026</w:t>
      </w:r>
    </w:p>
    <w:p>
      <w:pPr>
        <w:jc w:val="left"/>
      </w:pPr>
      <w:r>
        <w:rPr>
          <w:b/>
        </w:rPr>
        <w:t>Betreff:</w:t>
      </w:r>
      <w:r>
        <w:t xml:space="preserve"> Verfassungsrechtliche Pruefung eines möglichen Bussgeldbescheids der LDI NRW</w:t>
      </w:r>
    </w:p>
    <w:p/>
    <w:p>
      <w:pPr>
        <w:pStyle w:val="Heading2"/>
      </w:pPr>
      <w:r>
        <w:rPr>
          <w:rFonts w:ascii="Times New Roman" w:hAnsi="Times New Roman"/>
        </w:rPr>
        <w:t>1. Vorbemerkung</w:t>
      </w:r>
    </w:p>
    <w:p>
      <w:pPr>
        <w:jc w:val="left"/>
      </w:pPr>
      <w:r>
        <w:t>Die vorliegende Skizze prüft prospektiv, ob und unter welchen Voraussetzungen gegen einen Bussgeldbescheid der LDI NRW (DSB-NW-44/26) eine Verfassungsbeschwerde nach Art. 93 Abs. 1 Nr. 4a GG i.V.m. §§ 90 ff. BVerfGG zulassig und begründet wäre. Die Skizze setzt voraus, dass der Rechtsweg (Widerspruch, VG Düsseldorf, OVG NRW, BVerwG) erschöpft ist (§ 90 Abs. 2 BVerfGG).</w:t>
      </w:r>
    </w:p>
    <w:p>
      <w:pPr>
        <w:jc w:val="left"/>
      </w:pPr>
      <w:r>
        <w:rPr>
          <w:b/>
        </w:rPr>
        <w:t>Wichtiger Hinweis:</w:t>
      </w:r>
      <w:r>
        <w:t xml:space="preserve"> Diese Verfassungsbeschwerde ist ein ultima-ratio-Mittel. Die Kanzlei SBD empfiehlt primär eine aussergerichtliche Einigung mit LDI NRW oder einen Vergleich auf Widerspruchsebene.</w:t>
      </w:r>
    </w:p>
    <w:p/>
    <w:p>
      <w:pPr>
        <w:pStyle w:val="Heading2"/>
      </w:pPr>
      <w:r>
        <w:rPr>
          <w:rFonts w:ascii="Times New Roman" w:hAnsi="Times New Roman"/>
        </w:rPr>
        <w:t>2. Zulassigkeitsvoraussetzungen</w:t>
      </w:r>
    </w:p>
    <w:p>
      <w:pPr>
        <w:pStyle w:val="Heading3"/>
      </w:pPr>
      <w:r>
        <w:rPr>
          <w:rFonts w:ascii="Times New Roman" w:hAnsi="Times New Roman"/>
        </w:rPr>
        <w:t>2.1 Beschwerdefähigkeit (§ 90 Abs. 1 BVerfGG)</w:t>
      </w:r>
    </w:p>
    <w:p>
      <w:pPr>
        <w:jc w:val="left"/>
      </w:pPr>
      <w:r>
        <w:t>Eine Verfassungsbeschwerde können jede Person geltend machen, die behauptet, durch die öffentliche Gewalt in einem Grundrecht verletzt zu sein. Juristische Personen des Privatrechts sind beschwerdebefugt, soweit Grundrechte ihrem Wesen nach auf diese anwendbar sind (Art. 19 Abs. 3 GG).</w:t>
      </w:r>
    </w:p>
    <w:p>
      <w:pPr>
        <w:jc w:val="left"/>
      </w:pPr>
      <w:r>
        <w:rPr>
          <w:b/>
        </w:rPr>
        <w:t>VCS ist beschwerdefaehig</w:t>
      </w:r>
      <w:r>
        <w:t xml:space="preserve"> hinsichtlich:</w:t>
      </w:r>
    </w:p>
    <w:p>
      <w:pPr>
        <w:pStyle w:val="ListBullet"/>
      </w:pPr>
      <w:r>
        <w:t>Art. 12 Abs. 1 GG (Berufsfreiheit) — wirtschaftliche Existenz</w:t>
      </w:r>
    </w:p>
    <w:p>
      <w:pPr>
        <w:pStyle w:val="ListBullet"/>
      </w:pPr>
      <w:r>
        <w:t>Art. 14 Abs. 1 GG (Eigentumsgarantie) — Vermögenspositionen</w:t>
      </w:r>
    </w:p>
    <w:p>
      <w:pPr>
        <w:pStyle w:val="ListBullet"/>
      </w:pPr>
      <w:r>
        <w:t>Art. 2 Abs. 1 GG i.V.m. Art. 19 Abs. 3 GG (allgemeine Handlungsfreiheit)</w:t>
      </w:r>
    </w:p>
    <w:p>
      <w:pPr>
        <w:pStyle w:val="ListBullet"/>
      </w:pPr>
      <w:r>
        <w:t>Art. 103 Abs. 2 GG (Bestimmtheitsgrundsatz bei Sanktionen)</w:t>
      </w:r>
    </w:p>
    <w:p>
      <w:pPr>
        <w:pStyle w:val="Heading3"/>
      </w:pPr>
      <w:r>
        <w:rPr>
          <w:rFonts w:ascii="Times New Roman" w:hAnsi="Times New Roman"/>
        </w:rPr>
        <w:t>2.2 Beschwerdegegenstand</w:t>
      </w:r>
    </w:p>
    <w:p>
      <w:pPr>
        <w:jc w:val="left"/>
      </w:pPr>
      <w:r>
        <w:t>Gegenstand: Hoheitlicher Bussgeldbescheid der LDI NRW als Massnahme öffentlicher Gewalt.</w:t>
      </w:r>
    </w:p>
    <w:p>
      <w:pPr>
        <w:pStyle w:val="Heading3"/>
      </w:pPr>
      <w:r>
        <w:rPr>
          <w:rFonts w:ascii="Times New Roman" w:hAnsi="Times New Roman"/>
        </w:rPr>
        <w:t>2.3 Beschwerdebefugnis</w:t>
      </w:r>
    </w:p>
    <w:p>
      <w:pPr>
        <w:jc w:val="left"/>
      </w:pPr>
      <w:r>
        <w:t>VCS muss mögliche und gegenwaerige Grundrechtsverletzung behaupten. Bei einem existenzgefährdenden Bussgeld ist dies bei einem Jahresumsatz von 4 Mio. EUR ohne weiteres darzulegen.</w:t>
      </w:r>
    </w:p>
    <w:p>
      <w:pPr>
        <w:pStyle w:val="Heading3"/>
      </w:pPr>
      <w:r>
        <w:rPr>
          <w:rFonts w:ascii="Times New Roman" w:hAnsi="Times New Roman"/>
        </w:rPr>
        <w:t>2.4 Rechtswegerschöpfung (§ 90 Abs. 2 BVerfGG)</w:t>
      </w:r>
    </w:p>
    <w:p>
      <w:pPr>
        <w:jc w:val="left"/>
      </w:pPr>
      <w:r>
        <w:t>Erschöpfung erfordert:</w:t>
      </w:r>
    </w:p>
    <w:p>
      <w:pPr>
        <w:pStyle w:val="ListNumber"/>
      </w:pPr>
      <w:r>
        <w:t>Widerspruch gegen Bussgeldbescheid bei LDI NRW (§ 68 VwGO)</w:t>
      </w:r>
    </w:p>
    <w:p>
      <w:pPr>
        <w:pStyle w:val="ListNumber"/>
      </w:pPr>
      <w:r>
        <w:t>Klage vor VG Düsseldorf (§ 42 VwGO)</w:t>
      </w:r>
    </w:p>
    <w:p>
      <w:pPr>
        <w:pStyle w:val="ListNumber"/>
      </w:pPr>
      <w:r>
        <w:t>Berufung vor OVG NRW (§ 124 VwGO)</w:t>
      </w:r>
    </w:p>
    <w:p>
      <w:pPr>
        <w:pStyle w:val="ListNumber"/>
      </w:pPr>
      <w:r>
        <w:t>Revision vor BVerwG (§ 132 VwGO) — soweit zugelassen</w:t>
      </w:r>
    </w:p>
    <w:p/>
    <w:p>
      <w:pPr>
        <w:pStyle w:val="Heading2"/>
      </w:pPr>
      <w:r>
        <w:rPr>
          <w:rFonts w:ascii="Times New Roman" w:hAnsi="Times New Roman"/>
        </w:rPr>
        <w:t>3. Begruendetheit: Potenzielle Grundrechtsverletzungen</w:t>
      </w:r>
    </w:p>
    <w:p>
      <w:pPr>
        <w:pStyle w:val="Heading3"/>
      </w:pPr>
      <w:r>
        <w:rPr>
          <w:rFonts w:ascii="Times New Roman" w:hAnsi="Times New Roman"/>
        </w:rPr>
        <w:t>3.1 Art. 12 Abs. 1 GG — Verletzung der Berufsfreiheit</w:t>
      </w:r>
    </w:p>
    <w:p>
      <w:pPr>
        <w:jc w:val="left"/>
      </w:pPr>
      <w:r>
        <w:rPr>
          <w:b/>
        </w:rPr>
        <w:t>Argument:</w:t>
      </w:r>
      <w:r>
        <w:t xml:space="preserve"> Art. 12 Abs. 1 GG schützt die Berufsausübung gegenüber staatlichen Einschränkungen. Ein Bussgeld, das die wirtschaftliche Existenz des Unternehmens gefährdet oder vernichtet, stellt einen Eingriff in die Berufsfreiheit dar, der einer Verhaeltnismaessigkeitspruefung standhalten muss.</w:t>
      </w:r>
    </w:p>
    <w:p>
      <w:pPr>
        <w:jc w:val="left"/>
      </w:pPr>
      <w:r>
        <w:rPr>
          <w:b/>
        </w:rPr>
        <w:t>Dreistufentest (BVerfGE 7, 377 — Apotheken-Urteil):</w:t>
      </w:r>
    </w:p>
    <w:p>
      <w:pPr>
        <w:pStyle w:val="ListBullet"/>
      </w:pPr>
      <w:r>
        <w:t>Stufe 1 — Berufsausübungsregeln: Bussgeld als Reaktion auf Berufsausübung — Eingriff auf Stufe 1</w:t>
      </w:r>
    </w:p>
    <w:p>
      <w:pPr>
        <w:pStyle w:val="ListBullet"/>
      </w:pPr>
      <w:r>
        <w:t>Gerechtfertigt durch: Vernünftige Erwägungen des Allgemeinwohls (Datenschutz)</w:t>
      </w:r>
    </w:p>
    <w:p>
      <w:pPr>
        <w:pStyle w:val="ListBullet"/>
      </w:pPr>
      <w:r>
        <w:t>Verhaeltnismaessigkeit: Ein Bussgeld von 20 Mio. EUR bei einem Jahresumsatz von 4 Mio. EUR ist offensichtlich unverhaeltnismaessig</w:t>
      </w:r>
    </w:p>
    <w:p>
      <w:pPr>
        <w:jc w:val="left"/>
      </w:pPr>
      <w:r>
        <w:rPr>
          <w:b/>
        </w:rPr>
        <w:t>Argument:</w:t>
      </w:r>
      <w:r>
        <w:t xml:space="preserve"> Bei Art. 83 DSGVO ist der prozentuale Umsatzanteil (4%) die verfassungsrechtlich gebotene Berechnungsregel für KMU, nicht der absolute Höchstbetrag von 20 Mio. EUR. Eine Anwendung des absoluten Höchstbetrags auf ein KMU ohne spezifische Begründung verletzt Art. 12 GG.</w:t>
      </w:r>
    </w:p>
    <w:p>
      <w:pPr>
        <w:pStyle w:val="Heading3"/>
      </w:pPr>
      <w:r>
        <w:rPr>
          <w:rFonts w:ascii="Times New Roman" w:hAnsi="Times New Roman"/>
        </w:rPr>
        <w:t>3.2 Art. 103 Abs. 2 GG — Nulla poena sine lege certa</w:t>
      </w:r>
    </w:p>
    <w:p>
      <w:pPr>
        <w:jc w:val="left"/>
      </w:pPr>
      <w:r>
        <w:rPr>
          <w:b/>
        </w:rPr>
        <w:t>Argument:</w:t>
      </w:r>
      <w:r>
        <w:t xml:space="preserve"> Art. 103 Abs. 2 GG verlangt hinreichende Bestimmtheit der Bussgeldsanktionen. Art. 83 DSGVO ermachtigt die Behörde zu einem weiten Ermessen (0 bis 20 Mio. EUR oder 0 bis 4%). Dieses weite Ermessen kann — ohne ausdrückliche Gesetzgebungsakt des deutschen Parlaments — verfassungsrechtlich bedenklich sein.</w:t>
      </w:r>
    </w:p>
    <w:p>
      <w:pPr>
        <w:jc w:val="left"/>
      </w:pPr>
      <w:r>
        <w:rPr>
          <w:b/>
        </w:rPr>
        <w:t>Gegenargument (LDI NRW):</w:t>
      </w:r>
      <w:r>
        <w:t xml:space="preserve"> Art. 83 DSGVO ist unmittelbar geltendes EU-Recht (EUV Art. 288). Nationale Grundrechte werden durch das Grundgesetz-Konzept des Anwendungsvorrangs des EU-Rechts (Solange-Rechtsprechung, BVerfGE 73, 339) eingeschränkt.</w:t>
      </w:r>
    </w:p>
    <w:p>
      <w:pPr>
        <w:jc w:val="left"/>
      </w:pPr>
      <w:r>
        <w:rPr>
          <w:b/>
        </w:rPr>
        <w:t>Erwiderung VCS:</w:t>
      </w:r>
      <w:r>
        <w:t xml:space="preserve"> Die Solange-Doktrin gilt nicht schrankenlos. BVerfG hat in BVerfGE 126, 286 (Honeywell) und BVerfG 2 BvR 1685/14 (PSPP-Urteil) bestätigt, dass ultra-vires-Handlungen und Verletzung des verfassungsidentitaeren Kerns prüfbar bleiben. Ein Bussgeld, das eine Unternehmen vernichtet, ohne individuellen Vorsatz, tangt als ultra-vires.</w:t>
      </w:r>
    </w:p>
    <w:p>
      <w:pPr>
        <w:pStyle w:val="Heading3"/>
      </w:pPr>
      <w:r>
        <w:rPr>
          <w:rFonts w:ascii="Times New Roman" w:hAnsi="Times New Roman"/>
        </w:rPr>
        <w:t>3.3 Art. 14 Abs. 1 GG — Eigentumsgarantie</w:t>
      </w:r>
    </w:p>
    <w:p>
      <w:pPr>
        <w:jc w:val="left"/>
      </w:pPr>
      <w:r>
        <w:rPr>
          <w:b/>
        </w:rPr>
        <w:t>Argument:</w:t>
      </w:r>
      <w:r>
        <w:t xml:space="preserve"> Das Unternehmensvermogen und eingerichtete Gewerbebetrieb sind durch Art. 14 GG geschützt. Ein vernichtend hohes Bussgeld, das die Überschuldung oder Insolvenz bewirkt, stellt eine unverhaeltnismaessige Inhalts- und Schrankenbestimmung dar (BVerfGE 100, 226 — Denkmalschutz).</w:t>
      </w:r>
    </w:p>
    <w:p>
      <w:pPr>
        <w:pStyle w:val="Heading3"/>
      </w:pPr>
      <w:r>
        <w:rPr>
          <w:rFonts w:ascii="Times New Roman" w:hAnsi="Times New Roman"/>
        </w:rPr>
        <w:t>3.4 Unionsrechtliche Dimension: Verhaeltnismaessigkeit (Art. 49 GRCh)</w:t>
      </w:r>
    </w:p>
    <w:p>
      <w:pPr>
        <w:jc w:val="left"/>
      </w:pPr>
      <w:r>
        <w:t>Art. 49 Abs. 3 GRCh: Das Mass der Strafe muss zur Straftat in einem angemessenen Verhältnis stehen. Der EuGH hat in C-807/21 (Deutsche Wohnen) die Verhaeltnismaessigkeitspruefung bei DSGVO-Bussgeldern bestätigt. Ein nationales Gericht (VG Düsseldorf) kann/muss den EuGH um Vorabentscheidung ersuchen, falls Verhaeltnismaessigkeitsfragen unklar sind (Art. 267 AEUV).</w:t>
      </w:r>
    </w:p>
    <w:p/>
    <w:p>
      <w:pPr>
        <w:pStyle w:val="Heading2"/>
      </w:pPr>
      <w:r>
        <w:rPr>
          <w:rFonts w:ascii="Times New Roman" w:hAnsi="Times New Roman"/>
        </w:rPr>
        <w:t>4. Prozessuale Strategie</w:t>
      </w:r>
    </w:p>
    <w:p>
      <w:pPr>
        <w:pStyle w:val="Heading3"/>
      </w:pPr>
      <w:r>
        <w:rPr>
          <w:rFonts w:ascii="Times New Roman" w:hAnsi="Times New Roman"/>
        </w:rPr>
        <w:t>4.1 Primär: Vorabentscheidungsersuchen EuGH</w:t>
      </w:r>
    </w:p>
    <w:p>
      <w:pPr>
        <w:jc w:val="left"/>
      </w:pPr>
      <w:r>
        <w:t>Beim VG Düsseldorf (oder OVG NRW) wird ein Vorabentscheidungsersuchen gemäß Art. 267 AEUV angestrebt, um folgende Fragen klären zu lassen:</w:t>
      </w:r>
    </w:p>
    <w:p>
      <w:pPr>
        <w:pStyle w:val="ListBullet"/>
      </w:pPr>
      <w:r>
        <w:t>Darf Art. 83 DSGVO so ausgelegt werden, dass der absolute Betrag (20 Mio. EUR) auch bei KMU mit sehr viel niedrigerem Jahresumsatz angewendet wird?</w:t>
      </w:r>
    </w:p>
    <w:p>
      <w:pPr>
        <w:pStyle w:val="ListBullet"/>
      </w:pPr>
      <w:r>
        <w:t>Ist bei fehlender Absicht und vollständiger Kooperation ein Bussgeld nahe des Maximalbetrags verhaeltnismaessig (Art. 49 GRCh)?</w:t>
      </w:r>
    </w:p>
    <w:p>
      <w:pPr>
        <w:pStyle w:val="Heading3"/>
      </w:pPr>
      <w:r>
        <w:rPr>
          <w:rFonts w:ascii="Times New Roman" w:hAnsi="Times New Roman"/>
        </w:rPr>
        <w:t>4.2 Sekundär: Verfassungsbeschwerde BVerfG</w:t>
      </w:r>
    </w:p>
    <w:p>
      <w:pPr>
        <w:jc w:val="left"/>
      </w:pPr>
      <w:r>
        <w:t>Sollte der EuGH-Weg nicht zum Erfolg führen, wird Verfassungsbeschwerde eingelegt mit dem Antrag:</w:t>
      </w:r>
    </w:p>
    <w:p>
      <w:pPr>
        <w:pStyle w:val="ListBullet"/>
      </w:pPr>
      <w:r>
        <w:t>Den Bussgeldbescheid und die bestätigenden Gerichtsentscheidungen aufzuheben</w:t>
      </w:r>
    </w:p>
    <w:p>
      <w:pPr>
        <w:pStyle w:val="ListBullet"/>
      </w:pPr>
      <w:r>
        <w:t>Festzustellen, dass Art. 83 Abs. 5 DSGVO in seiner Anwendung auf KMU ohne individuelle Verhaeltnismaessigkeitspruefung Art. 12, 14 GG verletzt</w:t>
      </w:r>
    </w:p>
    <w:p/>
    <w:p>
      <w:pPr>
        <w:pStyle w:val="Heading2"/>
      </w:pPr>
      <w:r>
        <w:rPr>
          <w:rFonts w:ascii="Times New Roman" w:hAnsi="Times New Roman"/>
        </w:rPr>
        <w:t>5. Erfolgsaussichten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Rechtsbehelf</w:t>
            </w:r>
          </w:p>
        </w:tc>
        <w:tc>
          <w:tcPr>
            <w:tcW w:type="dxa" w:w="3024"/>
          </w:tcPr>
          <w:p>
            <w:r>
              <w:rPr>
                <w:rFonts w:ascii="Times New Roman" w:hAnsi="Times New Roman"/>
                <w:b/>
                <w:sz w:val="20"/>
              </w:rPr>
              <w:t>Erfolgswahrscheinlichkeit</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Widerspruch + VG Düsseldorf</w:t>
            </w:r>
          </w:p>
        </w:tc>
        <w:tc>
          <w:tcPr>
            <w:tcW w:type="dxa" w:w="3024"/>
          </w:tcPr>
          <w:p>
            <w:r>
              <w:rPr>
                <w:rFonts w:ascii="Times New Roman" w:hAnsi="Times New Roman"/>
                <w:sz w:val="20"/>
              </w:rPr>
              <w:t>30–40% (Reduzierung Bussgeld)</w:t>
            </w:r>
          </w:p>
        </w:tc>
        <w:tc>
          <w:tcPr>
            <w:tcW w:type="dxa" w:w="3024"/>
          </w:tcPr>
          <w:p>
            <w:r>
              <w:rPr>
                <w:rFonts w:ascii="Times New Roman" w:hAnsi="Times New Roman"/>
                <w:sz w:val="20"/>
              </w:rPr>
              <w:t>Realistisches Ziel</w:t>
            </w:r>
          </w:p>
        </w:tc>
      </w:tr>
      <w:tr>
        <w:tc>
          <w:tcPr>
            <w:tcW w:type="dxa" w:w="3024"/>
          </w:tcPr>
          <w:p>
            <w:r>
              <w:rPr>
                <w:rFonts w:ascii="Times New Roman" w:hAnsi="Times New Roman"/>
                <w:sz w:val="20"/>
              </w:rPr>
              <w:t>OVG / BVerwG (Revision)</w:t>
            </w:r>
          </w:p>
        </w:tc>
        <w:tc>
          <w:tcPr>
            <w:tcW w:type="dxa" w:w="3024"/>
          </w:tcPr>
          <w:p>
            <w:r>
              <w:rPr>
                <w:rFonts w:ascii="Times New Roman" w:hAnsi="Times New Roman"/>
                <w:sz w:val="20"/>
              </w:rPr>
              <w:t>15–25% (Grundsätzliche Klrung)</w:t>
            </w:r>
          </w:p>
        </w:tc>
        <w:tc>
          <w:tcPr>
            <w:tcW w:type="dxa" w:w="3024"/>
          </w:tcPr>
          <w:p>
            <w:r>
              <w:rPr>
                <w:rFonts w:ascii="Times New Roman" w:hAnsi="Times New Roman"/>
                <w:sz w:val="20"/>
              </w:rPr>
              <w:t>Langwierig</w:t>
            </w:r>
          </w:p>
        </w:tc>
      </w:tr>
      <w:tr>
        <w:tc>
          <w:tcPr>
            <w:tcW w:type="dxa" w:w="3024"/>
          </w:tcPr>
          <w:p>
            <w:r>
              <w:rPr>
                <w:rFonts w:ascii="Times New Roman" w:hAnsi="Times New Roman"/>
                <w:sz w:val="20"/>
              </w:rPr>
              <w:t>Vorabentscheidung EuGH</w:t>
            </w:r>
          </w:p>
        </w:tc>
        <w:tc>
          <w:tcPr>
            <w:tcW w:type="dxa" w:w="3024"/>
          </w:tcPr>
          <w:p>
            <w:r>
              <w:rPr>
                <w:rFonts w:ascii="Times New Roman" w:hAnsi="Times New Roman"/>
                <w:sz w:val="20"/>
              </w:rPr>
              <w:t>20–30% (Günstiges Urteil)</w:t>
            </w:r>
          </w:p>
        </w:tc>
        <w:tc>
          <w:tcPr>
            <w:tcW w:type="dxa" w:w="3024"/>
          </w:tcPr>
          <w:p>
            <w:r>
              <w:rPr>
                <w:rFonts w:ascii="Times New Roman" w:hAnsi="Times New Roman"/>
                <w:sz w:val="20"/>
              </w:rPr>
              <w:t>Zeitaufwendig</w:t>
            </w:r>
          </w:p>
        </w:tc>
      </w:tr>
      <w:tr>
        <w:tc>
          <w:tcPr>
            <w:tcW w:type="dxa" w:w="3024"/>
          </w:tcPr>
          <w:p>
            <w:r>
              <w:rPr>
                <w:rFonts w:ascii="Times New Roman" w:hAnsi="Times New Roman"/>
                <w:sz w:val="20"/>
              </w:rPr>
              <w:t>Verfassungsbeschwerde BVerfG</w:t>
            </w:r>
          </w:p>
        </w:tc>
        <w:tc>
          <w:tcPr>
            <w:tcW w:type="dxa" w:w="3024"/>
          </w:tcPr>
          <w:p>
            <w:r>
              <w:rPr>
                <w:rFonts w:ascii="Times New Roman" w:hAnsi="Times New Roman"/>
                <w:sz w:val="20"/>
              </w:rPr>
              <w:t>5–10% (Zulassung)</w:t>
            </w:r>
          </w:p>
        </w:tc>
        <w:tc>
          <w:tcPr>
            <w:tcW w:type="dxa" w:w="3024"/>
          </w:tcPr>
          <w:p>
            <w:r>
              <w:rPr>
                <w:rFonts w:ascii="Times New Roman" w:hAnsi="Times New Roman"/>
                <w:sz w:val="20"/>
              </w:rPr>
              <w:t>Ultima ratio</w:t>
            </w:r>
          </w:p>
        </w:tc>
      </w:tr>
    </w:tbl>
    <w:p/>
    <w:p>
      <w:pPr>
        <w:pStyle w:val="Heading2"/>
      </w:pPr>
      <w:r>
        <w:rPr>
          <w:rFonts w:ascii="Times New Roman" w:hAnsi="Times New Roman"/>
        </w:rPr>
        <w:t>Quellen</w:t>
      </w:r>
    </w:p>
    <w:p>
      <w:pPr>
        <w:pStyle w:val="ListBullet"/>
      </w:pPr>
      <w:r>
        <w:t>GG Art. 12, 14, 19, 103 — dejure.org/gesetze/GG</w:t>
      </w:r>
    </w:p>
    <w:p>
      <w:pPr>
        <w:pStyle w:val="ListBullet"/>
      </w:pPr>
      <w:r>
        <w:t>BVerfGG §§ 90 ff. — dejure.org/gesetze/BVerfGG</w:t>
      </w:r>
    </w:p>
    <w:p>
      <w:pPr>
        <w:pStyle w:val="ListBullet"/>
      </w:pPr>
      <w:r>
        <w:t>BVerfGE 7, 377 (Apotheken-Urteil) — bundesverfassungsgericht.de</w:t>
      </w:r>
    </w:p>
    <w:p>
      <w:pPr>
        <w:pStyle w:val="ListBullet"/>
      </w:pPr>
      <w:r>
        <w:t>BVerfGE 73, 339 (Solange II) — bundesverfassungsgericht.de</w:t>
      </w:r>
    </w:p>
    <w:p>
      <w:pPr>
        <w:pStyle w:val="ListBullet"/>
      </w:pPr>
      <w:r>
        <w:t>EuGH C-807/21 (Deutsche Wohnen) — eur-lex.europa.eu</w:t>
      </w:r>
    </w:p>
    <w:p>
      <w:pPr>
        <w:pStyle w:val="ListBullet"/>
      </w:pPr>
      <w:r>
        <w:t>GRCh Art. 49 — eur-lex.europa.eu</w:t>
      </w:r>
    </w:p>
    <w:p>
      <w:pPr>
        <w:pStyle w:val="ListBullet"/>
      </w:pPr>
      <w:r>
        <w:t>AEUV Art. 267 — eur-lex.europa.eu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