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Abschlussbericht und Handlungsempfehlungen</w:t>
      </w:r>
    </w:p>
    <w:p>
      <w:pPr>
        <w:jc w:val="left"/>
      </w:pPr>
      <w:r>
        <w:rPr>
          <w:b/>
        </w:rPr>
        <w:t>Aktenzeichen:</w:t>
      </w:r>
      <w:r>
        <w:t xml:space="preserve"> alle VCS-Aktenzeichen</w:t>
      </w:r>
    </w:p>
    <w:p>
      <w:pPr>
        <w:jc w:val="left"/>
      </w:pPr>
      <w:r>
        <w:rPr>
          <w:b/>
        </w:rPr>
        <w:t>Bearbeiter:</w:t>
      </w:r>
      <w:r>
        <w:t xml:space="preserve"> RA Dr. Cornelius Specht (federführend)</w:t>
      </w:r>
    </w:p>
    <w:p>
      <w:pPr>
        <w:jc w:val="left"/>
      </w:pPr>
      <w:r>
        <w:rPr>
          <w:b/>
        </w:rPr>
        <w:t>Datum:</w:t>
      </w:r>
      <w:r>
        <w:t xml:space="preserve"> 07. Februar 2026</w:t>
      </w:r>
    </w:p>
    <w:p>
      <w:pPr>
        <w:jc w:val="left"/>
      </w:pPr>
      <w:r>
        <w:rPr>
          <w:b/>
        </w:rPr>
        <w:t>Betreff:</w:t>
      </w:r>
      <w:r>
        <w:t xml:space="preserve"> Gesamtabschluss Erstanalyse und Handlungsempfehlungen</w:t>
      </w:r>
    </w:p>
    <w:p/>
    <w:p>
      <w:pPr>
        <w:pStyle w:val="Heading2"/>
      </w:pPr>
      <w:r>
        <w:rPr>
          <w:rFonts w:ascii="Times New Roman" w:hAnsi="Times New Roman"/>
        </w:rPr>
        <w:t>1. Zusammenfassung der Ausgangslage</w:t>
      </w:r>
    </w:p>
    <w:p>
      <w:pPr>
        <w:jc w:val="left"/>
      </w:pPr>
      <w:r>
        <w:t>Die VermieterCheck Solutions GmbH (VCS) sieht sich einer beispiellosen datenschutzrechtlichen Krisensituation gegenüber, die in ihrer Kumulation juristisch als existenzbedrohend einzustufen 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Verfahrens-/Risikokomplex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Finanzielles 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Rechtsnatur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Bussgeldbescheid LDI NRW Art. 83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20.000.000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Verwaltungsrecht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VDuG-Sammelklage 8.200 Betroffene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12.300.000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Zivilrecht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Strafverfahren GF § 42 BDSG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Freiheitsstrafe bis 3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Einzelklage Tannenbruck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1.500 EUR zzgl. Kosten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Zivilrecht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Reputationsschaden (NDR, Buch)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Unquantifiziert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Gesamtexposure (theoretisch)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&gt; 32.000.000 EUR</w:t>
            </w:r>
          </w:p>
        </w:tc>
        <w:tc>
          <w:tcPr>
            <w:tcW w:type="dxa" w:w="3024"/>
          </w:tcPr>
          <w:p/>
        </w:tc>
      </w:tr>
    </w:tbl>
    <w:p>
      <w:pPr>
        <w:jc w:val="left"/>
      </w:pPr>
      <w:r>
        <w:t>Das tatsächliche Exposure nach erfolgreicher Verteidigung wird auf 1.000.000 bis 5.000.000 EUR geschätzt (s. Bussgeldbemessung Akte 09, Vergleichsstrategie VDuG Akte 11).</w:t>
      </w:r>
    </w:p>
    <w:p/>
    <w:p>
      <w:pPr>
        <w:pStyle w:val="Heading2"/>
      </w:pPr>
      <w:r>
        <w:rPr>
          <w:rFonts w:ascii="Times New Roman" w:hAnsi="Times New Roman"/>
        </w:rPr>
        <w:t>2. Rechtliche Bewertungen — Kernbefunde</w:t>
      </w:r>
    </w:p>
    <w:p>
      <w:pPr>
        <w:pStyle w:val="Heading3"/>
      </w:pPr>
      <w:r>
        <w:rPr>
          <w:rFonts w:ascii="Times New Roman" w:hAnsi="Times New Roman"/>
        </w:rPr>
        <w:t>2.1 Klare Rechtsverstoesse (nicht bestreitbar)</w:t>
      </w:r>
    </w:p>
    <w:p>
      <w:pPr>
        <w:pStyle w:val="ListNumber"/>
      </w:pPr>
      <w:r>
        <w:rPr>
          <w:b/>
        </w:rPr>
        <w:t>Art. 6 DSGVO:</w:t>
      </w:r>
      <w:r>
        <w:t xml:space="preserve"> Verarbeitung ohne wirksame Rechtsgrundlage — Einwilligung durch Koppelung und Unvollständigkeit unwirksam (s. Akte 03)</w:t>
      </w:r>
    </w:p>
    <w:p>
      <w:pPr>
        <w:pStyle w:val="ListNumber"/>
      </w:pPr>
      <w:r>
        <w:rPr>
          <w:b/>
        </w:rPr>
        <w:t>Art. 22 DSGVO:</w:t>
      </w:r>
      <w:r>
        <w:t xml:space="preserve"> Unzulässige automatisierte Einzelentscheidung — HITL fehlt, Ausnahmen nicht erfullt (s. Akte 04)</w:t>
      </w:r>
    </w:p>
    <w:p>
      <w:pPr>
        <w:pStyle w:val="ListNumber"/>
      </w:pPr>
      <w:r>
        <w:rPr>
          <w:b/>
        </w:rPr>
        <w:t>Art. 35 DSGVO:</w:t>
      </w:r>
      <w:r>
        <w:t xml:space="preserve"> DSFA nicht durchgeführt trotz offensichtlicher Pflicht (s. Akte 05)</w:t>
      </w:r>
    </w:p>
    <w:p>
      <w:pPr>
        <w:pStyle w:val="ListNumber"/>
      </w:pPr>
      <w:r>
        <w:rPr>
          <w:b/>
        </w:rPr>
        <w:t>Art. 44 ff. DSGVO:</w:t>
      </w:r>
      <w:r>
        <w:t xml:space="preserve"> Drittlandtransfer an Sundara Tech ohne SCC (s. Akte 06)</w:t>
      </w:r>
    </w:p>
    <w:p>
      <w:pPr>
        <w:pStyle w:val="ListNumber"/>
      </w:pPr>
      <w:r>
        <w:rPr>
          <w:b/>
        </w:rPr>
        <w:t>Art. 33 DSGVO:</w:t>
      </w:r>
      <w:r>
        <w:t xml:space="preserve"> 72h-Meldepflicht versäumt (s. Akte 07)</w:t>
      </w:r>
    </w:p>
    <w:p>
      <w:pPr>
        <w:pStyle w:val="ListNumber"/>
      </w:pPr>
      <w:r>
        <w:rPr>
          <w:b/>
        </w:rPr>
        <w:t>Art. 28 DSGVO:</w:t>
      </w:r>
      <w:r>
        <w:t xml:space="preserve"> AVV mit Sundara Tech für 14 Monate nicht vorhanden; bestehendes AVV mangelhaft (s. Akte 16)</w:t>
      </w:r>
    </w:p>
    <w:p>
      <w:pPr>
        <w:pStyle w:val="Heading3"/>
      </w:pPr>
      <w:r>
        <w:rPr>
          <w:rFonts w:ascii="Times New Roman" w:hAnsi="Times New Roman"/>
        </w:rPr>
        <w:t>2.2 Verteidigungspositionen (bestrittig)</w:t>
      </w:r>
    </w:p>
    <w:p>
      <w:pPr>
        <w:pStyle w:val="ListNumber"/>
      </w:pPr>
      <w:r>
        <w:rPr>
          <w:b/>
        </w:rPr>
        <w:t>Bussgeldbemessung Art. 83:</w:t>
      </w:r>
      <w:r>
        <w:t xml:space="preserve"> Verhaeltnismaessigkeitspruefung — KMU-Abschlag, keine Absicht, Kooperation (s. Akte 09)</w:t>
      </w:r>
    </w:p>
    <w:p>
      <w:pPr>
        <w:pStyle w:val="ListNumber"/>
      </w:pPr>
      <w:r>
        <w:rPr>
          <w:b/>
        </w:rPr>
        <w:t>Art. 82 Bagatellgrenze:</w:t>
      </w:r>
      <w:r>
        <w:t xml:space="preserve"> Kein tatsächlicher Schaden für Segmente C und D (s. Akte 11)</w:t>
      </w:r>
    </w:p>
    <w:p>
      <w:pPr>
        <w:pStyle w:val="ListNumber"/>
      </w:pPr>
      <w:r>
        <w:rPr>
          <w:b/>
        </w:rPr>
        <w:t>§ 42 BDSG Vorsatz:</w:t>
      </w:r>
      <w:r>
        <w:t xml:space="preserve"> Verbotsirrtum, fehlende Bereicherungsabsicht (s. Akte 15)</w:t>
      </w:r>
    </w:p>
    <w:p>
      <w:pPr>
        <w:pStyle w:val="ListNumber"/>
      </w:pPr>
      <w:r>
        <w:rPr>
          <w:b/>
        </w:rPr>
        <w:t>Art. 83 GRCh / VfB:</w:t>
      </w:r>
      <w:r>
        <w:t xml:space="preserve"> Verhaeltnismaessigkeitspruefung auf EU-/Verfassungsebene (s. Akte 21)</w:t>
      </w:r>
    </w:p>
    <w:p/>
    <w:p>
      <w:pPr>
        <w:pStyle w:val="Heading2"/>
      </w:pPr>
      <w:r>
        <w:rPr>
          <w:rFonts w:ascii="Times New Roman" w:hAnsi="Times New Roman"/>
        </w:rPr>
        <w:t>3. Priorisierte Handlungsempfehlungen</w:t>
      </w:r>
    </w:p>
    <w:p>
      <w:pPr>
        <w:pStyle w:val="Heading3"/>
      </w:pPr>
      <w:r>
        <w:rPr>
          <w:rFonts w:ascii="Times New Roman" w:hAnsi="Times New Roman"/>
        </w:rPr>
        <w:t>Sofortmassnahmen (bis 15.02.2026)</w:t>
      </w:r>
    </w:p>
    <w:p>
      <w:pPr>
        <w:jc w:val="left"/>
      </w:pPr>
      <w:r>
        <w:rPr>
          <w:b/>
        </w:rPr>
        <w:t>Priorität KRITISCH:</w:t>
      </w:r>
    </w:p>
    <w:p>
      <w:pPr>
        <w:pStyle w:val="ListNumber"/>
      </w:pPr>
      <w:r>
        <w:rPr>
          <w:b/>
        </w:rPr>
        <w:t>Datenpanne-Meldung nacholen (Art. 33 DSGVO):</w:t>
      </w:r>
      <w:r>
        <w:t xml:space="preserve"> Sofortiger Eingang der Meldung bei LDI NRW mit vollständiger Schadensdarstellung. Jeder weitere Tag des Versäumnisses verschlimmert die Bussgeldbemessung.</w:t>
      </w:r>
    </w:p>
    <w:p>
      <w:pPr>
        <w:pStyle w:val="ListBullet"/>
      </w:pPr>
      <w:r>
        <w:t>Verantwortlich: RA Dr. Specht</w:t>
      </w:r>
    </w:p>
    <w:p>
      <w:pPr>
        <w:pStyle w:val="ListBullet"/>
      </w:pPr>
      <w:r>
        <w:t>Frist: 10.02.2026</w:t>
      </w:r>
    </w:p>
    <w:p>
      <w:pPr>
        <w:pStyle w:val="ListNumber"/>
      </w:pPr>
      <w:r>
        <w:rPr>
          <w:b/>
        </w:rPr>
        <w:t>Auskunft Dr. Tannenbruck erteilen:</w:t>
      </w:r>
      <w:r>
        <w:t xml:space="preserve"> Fristerstreckung bei LG Essen beantragen und Auskunft innerhalb von 7 Tagen erteilen.</w:t>
      </w:r>
    </w:p>
    <w:p>
      <w:pPr>
        <w:pStyle w:val="ListBullet"/>
      </w:pPr>
      <w:r>
        <w:t>Verantwortlich: RAin Beckenbauer + DSB Kessler-Brandt</w:t>
      </w:r>
    </w:p>
    <w:p>
      <w:pPr>
        <w:pStyle w:val="ListBullet"/>
      </w:pPr>
      <w:r>
        <w:t>Frist: 12.02.2026</w:t>
      </w:r>
    </w:p>
    <w:p>
      <w:pPr>
        <w:pStyle w:val="ListNumber"/>
      </w:pPr>
      <w:r>
        <w:rPr>
          <w:b/>
        </w:rPr>
        <w:t>Datentransfer Sundara Tech stoppen:</w:t>
      </w:r>
      <w:r>
        <w:t xml:space="preserve"> Kein weiterer Datentransfer bis SCC unterzeichnet.</w:t>
      </w:r>
    </w:p>
    <w:p>
      <w:pPr>
        <w:pStyle w:val="ListBullet"/>
      </w:pPr>
      <w:r>
        <w:t>Verantwortlich: DevOps-Leiter Bilgic</w:t>
      </w:r>
    </w:p>
    <w:p>
      <w:pPr>
        <w:pStyle w:val="ListBullet"/>
      </w:pPr>
      <w:r>
        <w:t>Frist: Sofort (bereits angeordnet 14.01.2026)</w:t>
      </w:r>
    </w:p>
    <w:p>
      <w:pPr>
        <w:pStyle w:val="ListNumber"/>
      </w:pPr>
      <w:r>
        <w:rPr>
          <w:b/>
        </w:rPr>
        <w:t>Patching CVE-2026-0188:</w:t>
      </w:r>
      <w:r>
        <w:t xml:space="preserve"> Produktiver Patch live und verifiziert durch SecureProof.</w:t>
      </w:r>
    </w:p>
    <w:p>
      <w:pPr>
        <w:pStyle w:val="ListBullet"/>
      </w:pPr>
      <w:r>
        <w:t>Verantwortlich: DevOps-Team</w:t>
      </w:r>
    </w:p>
    <w:p>
      <w:pPr>
        <w:pStyle w:val="ListBullet"/>
      </w:pPr>
      <w:r>
        <w:t>Frist: Bereits eingespielt (24.11.2025); Verifikation 10.02.2026</w:t>
      </w:r>
    </w:p>
    <w:p>
      <w:pPr>
        <w:pStyle w:val="ListNumber"/>
      </w:pPr>
      <w:r>
        <w:rPr>
          <w:b/>
        </w:rPr>
        <w:t>Betroffenenbenachrichtigung Art. 34 DSGVO:</w:t>
      </w:r>
      <w:r>
        <w:t xml:space="preserve"> Brief und E-Mail an 142.300 betroffene Mietinteressenten mit Information über Datenpanne.</w:t>
      </w:r>
    </w:p>
    <w:p>
      <w:pPr>
        <w:pStyle w:val="ListBullet"/>
      </w:pPr>
      <w:r>
        <w:t>Verantwortlich: DSB Kessler-Brandt + externe Kommunikationsagentur</w:t>
      </w:r>
    </w:p>
    <w:p>
      <w:pPr>
        <w:pStyle w:val="ListBullet"/>
      </w:pPr>
      <w:r>
        <w:t>Frist: 15.02.2026</w:t>
      </w:r>
    </w:p>
    <w:p>
      <w:pPr>
        <w:pStyle w:val="Heading3"/>
      </w:pPr>
      <w:r>
        <w:rPr>
          <w:rFonts w:ascii="Times New Roman" w:hAnsi="Times New Roman"/>
        </w:rPr>
        <w:t>Kurzfristige Massnahmen (bis 28.02.2026)</w:t>
      </w:r>
    </w:p>
    <w:p>
      <w:pPr>
        <w:pStyle w:val="ListNumber"/>
      </w:pPr>
      <w:r>
        <w:rPr>
          <w:b/>
        </w:rPr>
        <w:t>DSFA fertigstellen (Art. 35 DSGVO):</w:t>
      </w:r>
      <w:r>
        <w:t xml:space="preserve"> Vollständige DSFA-Dokumentation für ProspectScore Pro, anschliessend Vorabkonsultation LDI NRW (Art. 36 DSGVO).</w:t>
      </w:r>
    </w:p>
    <w:p>
      <w:pPr>
        <w:pStyle w:val="ListNumber"/>
      </w:pPr>
      <w:r>
        <w:rPr>
          <w:b/>
        </w:rPr>
        <w:t>Auskunftsersuchen Drostermann und Kaltenbach beantworten</w:t>
      </w:r>
      <w:r>
        <w:t xml:space="preserve"> (Art. 15 DSGVO, Fristen 03.02. und 05.02.2026).</w:t>
      </w:r>
    </w:p>
    <w:p>
      <w:pPr>
        <w:pStyle w:val="ListNumber"/>
      </w:pPr>
      <w:r>
        <w:rPr>
          <w:b/>
        </w:rPr>
        <w:t>SCC mit Sundara Tech abschliessen:</w:t>
      </w:r>
      <w:r>
        <w:t xml:space="preserve"> Modul 2 Controller-to-Processor, inklusive TIA.</w:t>
      </w:r>
    </w:p>
    <w:p>
      <w:pPr>
        <w:pStyle w:val="ListNumber"/>
      </w:pPr>
      <w:r>
        <w:rPr>
          <w:b/>
        </w:rPr>
        <w:t>Stellungnahme LDI NRW einreichen:</w:t>
      </w:r>
      <w:r>
        <w:t xml:space="preserve"> Vollständige kooperative Stellungnahme zu DSB-NW-44/26 mit Sanierungsnachweis.</w:t>
      </w:r>
    </w:p>
    <w:p>
      <w:pPr>
        <w:pStyle w:val="Heading3"/>
      </w:pPr>
      <w:r>
        <w:rPr>
          <w:rFonts w:ascii="Times New Roman" w:hAnsi="Times New Roman"/>
        </w:rPr>
        <w:t>Mittelfristige Massnahmen (bis 31.03.2026)</w:t>
      </w:r>
    </w:p>
    <w:p>
      <w:pPr>
        <w:pStyle w:val="ListNumber"/>
      </w:pPr>
      <w:r>
        <w:rPr>
          <w:b/>
        </w:rPr>
        <w:t>HITL-Implementierung:</w:t>
      </w:r>
      <w:r>
        <w:t xml:space="preserve"> Human-in-the-Loop für ProspectScore Pro, Testphase und Dokumentation.</w:t>
      </w:r>
    </w:p>
    <w:p>
      <w:pPr>
        <w:pStyle w:val="ListNumber"/>
      </w:pPr>
      <w:r>
        <w:rPr>
          <w:b/>
        </w:rPr>
        <w:t>Betroffenenportal:</w:t>
      </w:r>
      <w:r>
        <w:t xml:space="preserve"> Online-Portal für Auskunft, Widerspruch, Löschung, Datenportabilität.</w:t>
      </w:r>
    </w:p>
    <w:p>
      <w:pPr>
        <w:pStyle w:val="ListNumber"/>
      </w:pPr>
      <w:r>
        <w:rPr>
          <w:b/>
        </w:rPr>
        <w:t>Klageerwiderung VDuG:</w:t>
      </w:r>
      <w:r>
        <w:t xml:space="preserve"> Schriftsatz LG Essen 18 Mass 4/26 mit vollständiger Verteidigungsstrategie und Vergleichsangebot.</w:t>
      </w:r>
    </w:p>
    <w:p>
      <w:pPr>
        <w:pStyle w:val="ListNumber"/>
      </w:pPr>
      <w:r>
        <w:rPr>
          <w:b/>
        </w:rPr>
        <w:t>Schulungen:</w:t>
      </w:r>
      <w:r>
        <w:t xml:space="preserve"> Alle 38 Mitarbeiter DSGVO-Pflichtschulung, IT-Team Secure-Coding.</w:t>
      </w:r>
    </w:p>
    <w:p>
      <w:pPr>
        <w:pStyle w:val="ListNumber"/>
      </w:pPr>
      <w:r>
        <w:rPr>
          <w:b/>
        </w:rPr>
        <w:t>Löschkonzept implementieren:</w:t>
      </w:r>
      <w:r>
        <w:t xml:space="preserve"> Automatisiertes Löschprotokoll für alle Datenkategorien.</w:t>
      </w:r>
    </w:p>
    <w:p/>
    <w:p>
      <w:pPr>
        <w:pStyle w:val="Heading2"/>
      </w:pPr>
      <w:r>
        <w:rPr>
          <w:rFonts w:ascii="Times New Roman" w:hAnsi="Times New Roman"/>
        </w:rPr>
        <w:t>4. Kostenprognose Rechtsvertretung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Geschätzte Kosten (netto)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Verwaltungsverfahren LDI NRW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45.000 – 60.000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Zivilverfahren VDuG + Tannenbruck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80.000 – 120.000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Strafverfahren (RA Dr. Ankermann)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40.000 – 70.000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Beratung (DSFA, TOM, SCC)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30.000 – 50.000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Externe Gutachter/Forensik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25.000 – 40.000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Rechtsvertretungskosten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220.000 – 340.000 EUR</w:t>
            </w:r>
          </w:p>
        </w:tc>
      </w:tr>
    </w:tbl>
    <w:p>
      <w:pPr>
        <w:jc w:val="left"/>
      </w:pPr>
      <w:r>
        <w:t>Der geleistete Kostenvorschuss von 85.000 EUR deckt die ersten 3-4 Monate ab. Eine Nachschussanforderung ist für April 2026 geplant.</w:t>
      </w:r>
    </w:p>
    <w:p/>
    <w:p>
      <w:pPr>
        <w:pStyle w:val="Heading2"/>
      </w:pPr>
      <w:r>
        <w:rPr>
          <w:rFonts w:ascii="Times New Roman" w:hAnsi="Times New Roman"/>
        </w:rPr>
        <w:t>5. Abschliessende Prognose</w:t>
      </w:r>
    </w:p>
    <w:p>
      <w:pPr>
        <w:jc w:val="left"/>
      </w:pPr>
      <w:r>
        <w:t>Bei konsequenter Umsetzung der Sofort- und Kurzfristmassnahmen und kooperativer Haltung gegenüber LDI NRW ist folgendes Szenario realistisch:</w:t>
      </w:r>
    </w:p>
    <w:p>
      <w:pPr>
        <w:pStyle w:val="ListBullet"/>
      </w:pPr>
      <w:r>
        <w:rPr>
          <w:b/>
        </w:rPr>
        <w:t>Bussgeld LDI NRW:</w:t>
      </w:r>
      <w:r>
        <w:t xml:space="preserve"> 300.000 – 800.000 EUR (statt 20 Mio. EUR Maximum)</w:t>
      </w:r>
    </w:p>
    <w:p>
      <w:pPr>
        <w:pStyle w:val="ListBullet"/>
      </w:pPr>
      <w:r>
        <w:rPr>
          <w:b/>
        </w:rPr>
        <w:t>VDuG-Vergleich:</w:t>
      </w:r>
      <w:r>
        <w:t xml:space="preserve"> 400.000 – 700.000 EUR (statt 12.3 Mio. EUR Klageforderung)</w:t>
      </w:r>
    </w:p>
    <w:p>
      <w:pPr>
        <w:pStyle w:val="ListBullet"/>
      </w:pPr>
      <w:r>
        <w:rPr>
          <w:b/>
        </w:rPr>
        <w:t>Strafverfahren GF:</w:t>
      </w:r>
      <w:r>
        <w:t xml:space="preserve"> Geldstrafe oder Bewährungsstrafe (kein Haftantritt)</w:t>
      </w:r>
    </w:p>
    <w:p>
      <w:pPr>
        <w:pStyle w:val="ListBullet"/>
      </w:pPr>
      <w:r>
        <w:rPr>
          <w:b/>
        </w:rPr>
        <w:t>Reputationsschaden:</w:t>
      </w:r>
      <w:r>
        <w:t xml:space="preserve"> Begrenzbar durch PR-Offensive und sichtbare Compliance-Massnahmen</w:t>
      </w:r>
    </w:p>
    <w:p>
      <w:pPr>
        <w:jc w:val="left"/>
      </w:pPr>
      <w:r>
        <w:rPr>
          <w:b/>
        </w:rPr>
        <w:t>Gesamtaussicht:</w:t>
      </w:r>
      <w:r>
        <w:t xml:space="preserve"> Unternehmenserhalt bei konsequenter Compliance-Offensive wahrscheinlich. Die Kanzlei SBD ist zuversichtlich, die Mandantin durch die Krise zu führen.</w:t>
      </w:r>
    </w:p>
    <w:p/>
    <w:p>
      <w:pPr>
        <w:pStyle w:val="Heading2"/>
      </w:pPr>
      <w:r>
        <w:rPr>
          <w:rFonts w:ascii="Times New Roman" w:hAnsi="Times New Roman"/>
        </w:rPr>
        <w:t>6. Sorgfaltspflicht-Hinweis</w:t>
      </w:r>
    </w:p>
    <w:p>
      <w:pPr>
        <w:jc w:val="left"/>
      </w:pPr>
      <w:r>
        <w:t>Dieser Abschlussbericht stellt eine erste Gesamtbewertung des Sachverhalts dar, basierend auf den im Zeitraum 14.-31.01.2026 erhobenen Informationen. Er ersetzt keine spezifische Einzelberatung zu den einzelnen Verfahren (s. Akten 01–21). Die Einschätzungen können sich aufgrund neuer Tatsachen oder veraendeter Rechtslage jederzeit ändern.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DSGVO Art. 6, 22, 28, 33, 34, 35, 44, 82, 83 — dejure.org/gesetze/DSGVO</w:t>
      </w:r>
    </w:p>
    <w:p>
      <w:pPr>
        <w:pStyle w:val="ListBullet"/>
      </w:pPr>
      <w:r>
        <w:t>BDSG § 42 — dejure.org/gesetze/BDSG</w:t>
      </w:r>
    </w:p>
    <w:p>
      <w:pPr>
        <w:pStyle w:val="ListBullet"/>
      </w:pPr>
      <w:r>
        <w:t>VDuG — dejure.org/gesetze/VDuG</w:t>
      </w:r>
    </w:p>
    <w:p>
      <w:pPr>
        <w:pStyle w:val="ListBullet"/>
      </w:pPr>
      <w:r>
        <w:t>EuGH C-807/21 (Deutsche Wohnen) — eur-lex.europa.eu</w:t>
      </w:r>
    </w:p>
    <w:p>
      <w:pPr>
        <w:pStyle w:val="ListBullet"/>
      </w:pPr>
      <w:r>
        <w:t>BGH VI ZR 10/24 — bundesgerichtshof.de</w:t>
      </w:r>
    </w:p>
    <w:p>
      <w:pPr>
        <w:pStyle w:val="ListBullet"/>
      </w:pPr>
      <w:r>
        <w:t>EDSA-Leitlinien 04/2022 (Bussgeldbemessung) — edpb.europa.eu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