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BWA-Kommentar – Edelholz Manufaktur Berlin GmbH</w:t>
      </w:r>
    </w:p>
    <w:p>
      <w:pPr>
        <w:jc w:val="left"/>
      </w:pPr>
      <w:r>
        <w:rPr>
          <w:b/>
        </w:rPr>
        <w:t>Berichtszeitraum:</w:t>
      </w:r>
      <w:r>
        <w:t xml:space="preserve"> Januar – April 2026 (kumuliert)</w:t>
      </w:r>
    </w:p>
    <w:p>
      <w:pPr>
        <w:jc w:val="left"/>
      </w:pPr>
      <w:r>
        <w:rPr>
          <w:b/>
        </w:rPr>
        <w:t>Steuerberater:</w:t>
      </w:r>
      <w:r>
        <w:t xml:space="preserve"> Falkenrieth &amp; Partner StB-Gesellschaft, Berlin-Mitte</w:t>
      </w:r>
    </w:p>
    <w:p>
      <w:pPr>
        <w:jc w:val="left"/>
      </w:pPr>
      <w:r>
        <w:rPr>
          <w:b/>
        </w:rPr>
        <w:t>Bearbeiter:</w:t>
      </w:r>
      <w:r>
        <w:t xml:space="preserve"> StB Dipl.-Kffr. Andrea Falkenrieth</w:t>
      </w:r>
    </w:p>
    <w:p>
      <w:pPr>
        <w:jc w:val="left"/>
      </w:pPr>
      <w:r>
        <w:rPr>
          <w:b/>
        </w:rPr>
        <w:t>Datum:</w:t>
      </w:r>
      <w:r>
        <w:t xml:space="preserve"> 12.05.2026</w:t>
      </w:r>
    </w:p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 xml:space="preserve">Vorläufiges Ergebnis vor Steuern (kumuliert 1–4/2026): </w:t>
      </w:r>
      <w:r>
        <w:rPr>
          <w:b/>
        </w:rPr>
        <w:t>−126.506 EUR</w:t>
      </w:r>
      <w:r>
        <w:t>.</w:t>
      </w:r>
    </w:p>
    <w:p>
      <w:pPr>
        <w:jc w:val="left"/>
      </w:pPr>
      <w:r>
        <w:t>Im Vergleich zum Vorjahreszeitraum (−18.400 EUR) eine Verschlechterung um</w:t>
      </w:r>
    </w:p>
    <w:p>
      <w:pPr>
        <w:jc w:val="left"/>
      </w:pPr>
      <w:r>
        <w:t>−108.106 EUR. Die operative Marge ist eingebrochen.</w:t>
      </w:r>
    </w:p>
    <w:p>
      <w:pPr>
        <w:pStyle w:val="Heading2"/>
      </w:pPr>
      <w:r>
        <w:rPr>
          <w:rFonts w:ascii="Times New Roman" w:hAnsi="Times New Roman"/>
        </w:rPr>
        <w:t>Wesentliche Treiber</w:t>
      </w:r>
    </w:p>
    <w:p>
      <w:pPr>
        <w:pStyle w:val="ListBullet"/>
      </w:pPr>
      <w:r>
        <w:rPr>
          <w:b/>
        </w:rPr>
        <w:t>Rohertragsquote</w:t>
      </w:r>
      <w:r>
        <w:t xml:space="preserve"> sinkt von 51,2 % (Januar) auf 47,1 % (April). Material- und</w:t>
      </w:r>
    </w:p>
    <w:p>
      <w:pPr>
        <w:jc w:val="left"/>
      </w:pPr>
      <w:r>
        <w:t>Fremdleistungskosten steigen schneller als die Verkaufspreise (Anteil</w:t>
      </w:r>
    </w:p>
    <w:p>
      <w:pPr>
        <w:jc w:val="left"/>
      </w:pPr>
      <w:r>
        <w:t>Fremdleistung Lohnfertigung steigt von 4,2 TEUR (Januar) auf 12,6 TEUR</w:t>
      </w:r>
    </w:p>
    <w:p>
      <w:pPr>
        <w:jc w:val="left"/>
      </w:pPr>
      <w:r>
        <w:t>(April), insb. wegen CNC-Notbetrieb seit 25.04.).</w:t>
      </w:r>
    </w:p>
    <w:p>
      <w:pPr>
        <w:pStyle w:val="ListBullet"/>
      </w:pPr>
      <w:r>
        <w:rPr>
          <w:b/>
        </w:rPr>
        <w:t>Personalaufwand</w:t>
      </w:r>
      <w:r>
        <w:t xml:space="preserve"> stabil bei ca. 77,8 TEUR/Monat (Lohn 63 TEUR netto +</w:t>
      </w:r>
    </w:p>
    <w:p>
      <w:pPr>
        <w:jc w:val="left"/>
      </w:pPr>
      <w:r>
        <w:t>AG-Anteil SV 12,8 TEUR + BG/U1-U3 1,8 TEUR). Personalintensität bei 20 MA</w:t>
      </w:r>
    </w:p>
    <w:p>
      <w:pPr>
        <w:jc w:val="left"/>
      </w:pPr>
      <w:r>
        <w:t>korrekt; Quote zur Gesamtleistung 41–44 % branchenüblich für Edeltischlerei.</w:t>
      </w:r>
    </w:p>
    <w:p>
      <w:pPr>
        <w:pStyle w:val="ListBullet"/>
      </w:pPr>
      <w:r>
        <w:rPr>
          <w:b/>
        </w:rPr>
        <w:t>Wartungs-/Reparaturkosten</w:t>
      </w:r>
      <w:r>
        <w:t xml:space="preserve"> sprunghaft im April: 28 TEUR (CNC-Antriebsmotor</w:t>
      </w:r>
    </w:p>
    <w:p>
      <w:pPr>
        <w:jc w:val="left"/>
      </w:pPr>
      <w:r>
        <w:t>defekt). In Vormonaten 0,8–4,2 TEUR.</w:t>
      </w:r>
    </w:p>
    <w:p>
      <w:pPr>
        <w:pStyle w:val="ListBullet"/>
      </w:pPr>
      <w:r>
        <w:rPr>
          <w:b/>
        </w:rPr>
        <w:t>Zinsaufwand Kontokorrent</w:t>
      </w:r>
      <w:r>
        <w:t xml:space="preserve"> steigt von 340 EUR (Januar) auf 1.040 EUR (April)</w:t>
      </w:r>
    </w:p>
    <w:p>
      <w:pPr>
        <w:jc w:val="left"/>
      </w:pPr>
      <w:r>
        <w:t>– die Inanspruchnahme nähert sich dem Limit (92,3 % per 30.04.).</w:t>
      </w:r>
    </w:p>
    <w:p>
      <w:pPr>
        <w:pStyle w:val="Heading2"/>
      </w:pPr>
      <w:r>
        <w:rPr>
          <w:rFonts w:ascii="Times New Roman" w:hAnsi="Times New Roman"/>
        </w:rPr>
        <w:t>Krisenindikatoren</w:t>
      </w:r>
    </w:p>
    <w:p>
      <w:pPr>
        <w:pStyle w:val="ListBullet"/>
      </w:pPr>
      <w:r>
        <w:t>Kumulierter Verlust &gt; 6 % der Gesamtleistung (kritischer Grenzwert).</w:t>
      </w:r>
    </w:p>
    <w:p>
      <w:pPr>
        <w:pStyle w:val="ListBullet"/>
      </w:pPr>
      <w:r>
        <w:t>Lieferantenkredit gestreckt (durchschnittliches Zahlungsziel von 18 auf 67 Tage).</w:t>
      </w:r>
    </w:p>
    <w:p>
      <w:pPr>
        <w:pStyle w:val="ListBullet"/>
      </w:pPr>
      <w:r>
        <w:t>Sozialversicherungsrückstände 65.760 EUR (siehe Personalliste).</w:t>
      </w:r>
    </w:p>
    <w:p>
      <w:pPr>
        <w:pStyle w:val="ListBullet"/>
      </w:pPr>
      <w:r>
        <w:t>Lastschriftrückgabe TK 27.03.2026.</w:t>
      </w:r>
    </w:p>
    <w:p>
      <w:pPr>
        <w:pStyle w:val="Heading2"/>
      </w:pPr>
      <w:r>
        <w:rPr>
          <w:rFonts w:ascii="Times New Roman" w:hAnsi="Times New Roman"/>
        </w:rPr>
        <w:t>Hinweis nach § 102 StaRUG</w:t>
      </w:r>
    </w:p>
    <w:p>
      <w:pPr>
        <w:jc w:val="left"/>
      </w:pPr>
      <w:r>
        <w:t>Wir weisen Sie ausdrücklich darauf hin, dass die vorliegende BWA in</w:t>
      </w:r>
    </w:p>
    <w:p>
      <w:pPr>
        <w:jc w:val="left"/>
      </w:pPr>
      <w:r>
        <w:t>Verbindung mit der SuSa Anhaltspunkte für (drohende) Zahlungsunfähigkeit</w:t>
      </w:r>
    </w:p>
    <w:p>
      <w:pPr>
        <w:jc w:val="left"/>
      </w:pPr>
      <w:r>
        <w:t>und Überschuldung im Sinne der §§ 17, 19 InsO enthält. Wir empfehlen</w:t>
      </w:r>
    </w:p>
    <w:p>
      <w:pPr>
        <w:jc w:val="left"/>
      </w:pPr>
      <w:r>
        <w:t>dringend, qualifizierten Rechtsrat einzuholen und eine integrierte</w:t>
      </w:r>
    </w:p>
    <w:p>
      <w:pPr>
        <w:jc w:val="left"/>
      </w:pPr>
      <w:r>
        <w:t>Sanierungsplanung nach IDW S 6 erstellen zu lassen.</w:t>
      </w:r>
    </w:p>
    <w:p>
      <w:pPr>
        <w:jc w:val="left"/>
      </w:pPr>
      <w:r>
        <w:t>Siehe gesondertes Hinweisschreiben vom 12.05.2026.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BGH, Urt. v. 24.05.2005 – IX ZR 123/04, BGHZ 163, 134 Rn. 12 ff. (§ 17 InsO)</w:t>
      </w:r>
    </w:p>
    <w:p>
      <w:pPr>
        <w:pStyle w:val="ListBullet"/>
      </w:pPr>
      <w:r>
        <w:t>BGH, Urt. v. 12.10.2006 – IX ZR 228/03, NJW 2007, 78 Rn. 16 ff.</w:t>
      </w:r>
    </w:p>
    <w:p>
      <w:pPr>
        <w:pStyle w:val="ListBullet"/>
      </w:pPr>
      <w:r>
        <w:t>§ 102 StaRUG (Hinweis- und Warnpflicht)</w:t>
      </w:r>
    </w:p>
    <w:p>
      <w:pPr>
        <w:pStyle w:val="ListBullet"/>
      </w:pPr>
      <w:r>
        <w:t>IDW S 6 (Sanierungskonzepte), IDW S 11 (Insolvenzeröffnungsgründe)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