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Bankauszüge – Auszug Februar bis April 2026</w:t>
      </w:r>
    </w:p>
    <w:p>
      <w:pPr>
        <w:ind w:left="567"/>
      </w:pPr>
      <w:r>
        <w:rPr>
          <w:i/>
        </w:rPr>
        <w:t>Beide Konten, jeweils Auszug der Kernbewegungen. Salden gerundet, Kennzeichen</w:t>
      </w:r>
    </w:p>
    <w:p>
      <w:pPr>
        <w:ind w:left="567"/>
      </w:pPr>
      <w:r>
        <w:rPr>
          <w:i/>
        </w:rPr>
        <w:t>Z- = Zahlungsausgang, E- = Eingang, K-= sonstige.</w:t>
      </w:r>
    </w:p>
    <w:p>
      <w:pPr>
        <w:pStyle w:val="Heading2"/>
      </w:pPr>
      <w:r>
        <w:rPr>
          <w:rFonts w:ascii="Times New Roman" w:hAnsi="Times New Roman"/>
        </w:rPr>
        <w:t>Berliner Sparkasse – Geschäftskonto (IBAN DE12 1005 0000 0190 4738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nach Buchung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Eröffnung 01.02.2026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+ 24.860,12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E-104 Privat Lehnert RE-2026-0034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30.700,12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Z-201 Stromnetz Berlin Strom Jan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Z-208 Finanzamt USt-Sondervorauszahlung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−14.500,00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10.560,12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Z-209 USt-VZ 12/2025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E-112 Senatsverwaltung Bildung Teilrechnung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+24.300,00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Z-214 Allianz Berufshaftpflicht Q1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22.540,12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Z-228 TK Krankenkasse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−13.200,00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9.340,12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Z-229 AOK Berlin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Z-230 Barmer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−6.400,00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−6.940,88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Z-231 BKK VBU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−10.040,88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E-118 Lützowufer Anzahlung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+28.000,00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17.959,12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Z-235 Lohnauszahlung Feb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−34.680,88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K-001 Übertrag von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28.02.2026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+319,12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Z-237 Miete Köpenicker Str.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−9.520,88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K-002 Übertrag von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5.479,12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Z-244 USt-VZ 01/2026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−11.220,00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−5.740,88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K-003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6.259,12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E-122 Privat Bach/Wieland RE-2026-0094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18.739,12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E-123 Hotel Lützowufer RE-2026-0084 Anzahlung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39.239,12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Z-251 SCM CNC-Leasing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−4.180,00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35.059,12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Z-280 LASTSCHRIFTRÜCKGABE TK SV 03/2026 mangels 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(Re-Buchung)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Z-281 Lohnauszahlung März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−17.120,88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K-004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Z-285 Sparkasse Tilgung Investkredit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−300,88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31.03.2026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−300,88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Z-301 Miete Köpenicker Str.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−10.140,88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K-005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Z-308 Vattenfall Wärme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−3.240,00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−1.380,88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E-132 Senatsverwaltung Schlusszahlung Teilbetrag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+18.000,00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16.619,12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Z-316 USt-VZ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−12.620,00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3.999,12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Z-317 Lohnsteuer 03/2026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−11.180,00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−7.180,88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K-006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12.819,12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Z-320 SCM Service Wartung CNC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−4.180,00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8.639,12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Z-321 Holzma Plattensäge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5.999,12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E-141 Cafe Lichtfels RE-2026-0103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+5.860,00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11.859,12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E-145 Anwaltskanzlei Bredow RE-2026-0108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+14.620,00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26.479,12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Z-340 Allianz 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−1.860,00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24.619,12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Z-345 Lohnauszahlung April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−52.780,00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−28.160,88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K-007 Übertrag KK-Linie (Auslastung Ende)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+44.000,00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15.839,12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Z-352 Sparkasse Tilgung Investkredit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12.659,12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Z-353 Sparkasse KK-Zinsen Q1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−2.940,00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9.719,12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E-150 Privat Görlitz/Aydin RE-2026-0115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+9.420,00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19.139,12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30.04.2026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+19.139,12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Mittelbrandenburgische Sparkasse – Kontokorrent (IBAN DE74 1605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Inanspruchnahme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82.300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67.700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114.300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138.400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11.600</w:t>
            </w:r>
          </w:p>
        </w:tc>
      </w:tr>
    </w:tbl>
    <w:p>
      <w:pPr>
        <w:jc w:val="left"/>
      </w:pPr>
      <w:r>
        <w:rPr>
          <w:b/>
        </w:rPr>
        <w:t>Aggregierter Liquiditätsstand 30.04.2026</w:t>
      </w:r>
      <w:r>
        <w:t>:</w:t>
      </w:r>
    </w:p>
    <w:p>
      <w:pPr>
        <w:pStyle w:val="ListBullet"/>
      </w:pPr>
      <w:r>
        <w:t>Bankguthaben Berliner Sparkasse: 19.139 EUR</w:t>
      </w:r>
    </w:p>
    <w:p>
      <w:pPr>
        <w:pStyle w:val="ListBullet"/>
      </w:pPr>
      <w:r>
        <w:t>Verfügbarer Kontokorrent-Rest: 11.600 EUR</w:t>
      </w:r>
    </w:p>
    <w:p>
      <w:pPr>
        <w:pStyle w:val="ListBullet"/>
      </w:pPr>
      <w:r>
        <w:rPr>
          <w:b/>
        </w:rPr>
        <w:t>Liquidität gesamt: 30.739 EUR</w:t>
      </w:r>
    </w:p>
    <w:p>
      <w:pPr>
        <w:pStyle w:val="Heading2"/>
      </w:pPr>
      <w:r>
        <w:rPr>
          <w:rFonts w:ascii="Times New Roman" w:hAnsi="Times New Roman"/>
        </w:rPr>
        <w:t>Schreiben Mittelbrandenburgische Sparkasse 22.04.2026 (auszugsweise)</w:t>
      </w:r>
    </w:p>
    <w:p>
      <w:pPr>
        <w:ind w:left="567"/>
      </w:pPr>
      <w:r>
        <w:rPr>
          <w:i/>
        </w:rPr>
        <w:t>"… teilen wir Ihnen mit, dass wir die Ihnen eingeräumte Kontokorrentlinie über</w:t>
      </w:r>
    </w:p>
    <w:p>
      <w:pPr>
        <w:ind w:left="567"/>
      </w:pPr>
      <w:r>
        <w:rPr>
          <w:i/>
        </w:rPr>
        <w:t>150.000 EUR mit Wirkung zum 01.01.2027 auf 80.000 EUR reduzieren werden. Die</w:t>
      </w:r>
    </w:p>
    <w:p>
      <w:pPr>
        <w:ind w:left="567"/>
      </w:pPr>
      <w:r>
        <w:rPr>
          <w:i/>
        </w:rPr>
        <w:t>Vereinbarung über den Eigenkapital-Covenant von 10 % wurde im Geschäftsjahr</w:t>
      </w:r>
    </w:p>
    <w:p>
      <w:pPr>
        <w:ind w:left="567"/>
      </w:pPr>
      <w:r>
        <w:rPr>
          <w:i/>
        </w:rPr>
        <w:t>2025 nicht eingehalten. Wir bitten um Vorlage eines aktuellen Sanierungs-</w:t>
      </w:r>
    </w:p>
    <w:p>
      <w:pPr>
        <w:ind w:left="567"/>
      </w:pPr>
      <w:r>
        <w:rPr>
          <w:i/>
        </w:rPr>
        <w:t>bzw. Restrukturierungskonzepts bis spätestens 30.06.2026."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