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Verträge und Daueraufträge – Stand 30.04.2026</w:t>
      </w:r>
    </w:p>
    <w:p>
      <w:pPr>
        <w:pStyle w:val="Heading2"/>
      </w:pPr>
      <w:r>
        <w:rPr>
          <w:rFonts w:ascii="Times New Roman" w:hAnsi="Times New Roman"/>
        </w:rPr>
        <w:t>Miete Werkstatt</w:t>
      </w:r>
    </w:p>
    <w:p>
      <w:pPr>
        <w:pStyle w:val="ListBullet"/>
      </w:pPr>
      <w:r>
        <w:rPr>
          <w:b/>
        </w:rPr>
        <w:t>Objekt</w:t>
      </w:r>
      <w:r>
        <w:t>: Köpenicker Straße 187, 10997 Berlin – Werkstatt + Verwaltung (840 m²)</w:t>
      </w:r>
    </w:p>
    <w:p>
      <w:pPr>
        <w:pStyle w:val="ListBullet"/>
      </w:pPr>
      <w:r>
        <w:rPr>
          <w:b/>
        </w:rPr>
        <w:t>Vermieter</w:t>
      </w:r>
      <w:r>
        <w:t>: Schrenk Immobilien GmbH &amp; Co. KG</w:t>
      </w:r>
    </w:p>
    <w:p>
      <w:pPr>
        <w:pStyle w:val="ListBullet"/>
      </w:pPr>
      <w:r>
        <w:rPr>
          <w:b/>
        </w:rPr>
        <w:t>Vertrag</w:t>
      </w:r>
      <w:r>
        <w:t>: 01.04.2018, Laufzeit bis 31.03.2028, Verlängerung 5 Jahre</w:t>
      </w:r>
    </w:p>
    <w:p>
      <w:pPr>
        <w:pStyle w:val="ListBullet"/>
      </w:pPr>
      <w:r>
        <w:rPr>
          <w:b/>
        </w:rPr>
        <w:t>Kaltmiete</w:t>
      </w:r>
      <w:r>
        <w:t>: 7.560 EUR / Monat (9,00 EUR/m²)</w:t>
      </w:r>
    </w:p>
    <w:p>
      <w:pPr>
        <w:pStyle w:val="ListBullet"/>
      </w:pPr>
      <w:r>
        <w:rPr>
          <w:b/>
        </w:rPr>
        <w:t>NK-VZ</w:t>
      </w:r>
      <w:r>
        <w:t>: 2.280 EUR / Monat</w:t>
      </w:r>
    </w:p>
    <w:p>
      <w:pPr>
        <w:pStyle w:val="ListBullet"/>
      </w:pPr>
      <w:r>
        <w:rPr>
          <w:b/>
        </w:rPr>
        <w:t>Gesamt</w:t>
      </w:r>
      <w:r>
        <w:t>: 9.840 EUR / Monat, fällig 1. Werktag</w:t>
      </w:r>
    </w:p>
    <w:p>
      <w:pPr>
        <w:pStyle w:val="ListBullet"/>
      </w:pPr>
      <w:r>
        <w:rPr>
          <w:b/>
        </w:rPr>
        <w:t>Indexklausel</w:t>
      </w:r>
      <w:r>
        <w:t>: VPI, letzte Anpassung 04/2025</w:t>
      </w:r>
    </w:p>
    <w:p>
      <w:pPr>
        <w:pStyle w:val="Heading2"/>
      </w:pPr>
      <w:r>
        <w:rPr>
          <w:rFonts w:ascii="Times New Roman" w:hAnsi="Times New Roman"/>
        </w:rPr>
        <w:t>Leasing CNC-Bearbeitungszentrum SCM Accord 50</w:t>
      </w:r>
    </w:p>
    <w:p>
      <w:pPr>
        <w:pStyle w:val="ListBullet"/>
      </w:pPr>
      <w:r>
        <w:rPr>
          <w:b/>
        </w:rPr>
        <w:t>Leasinggeber</w:t>
      </w:r>
      <w:r>
        <w:t>: SCM Finance Deutschland GmbH</w:t>
      </w:r>
    </w:p>
    <w:p>
      <w:pPr>
        <w:pStyle w:val="ListBullet"/>
      </w:pPr>
      <w:r>
        <w:rPr>
          <w:b/>
        </w:rPr>
        <w:t>Vertrag</w:t>
      </w:r>
      <w:r>
        <w:t>: 14.05.2019, 84 Monate</w:t>
      </w:r>
    </w:p>
    <w:p>
      <w:pPr>
        <w:pStyle w:val="ListBullet"/>
      </w:pPr>
      <w:r>
        <w:rPr>
          <w:b/>
        </w:rPr>
        <w:t>Rate</w:t>
      </w:r>
      <w:r>
        <w:t>: 4.180 EUR / Monat, fällig 15.</w:t>
      </w:r>
    </w:p>
    <w:p>
      <w:pPr>
        <w:pStyle w:val="ListBullet"/>
      </w:pPr>
      <w:r>
        <w:rPr>
          <w:b/>
        </w:rPr>
        <w:t>Restlaufzeit</w:t>
      </w:r>
      <w:r>
        <w:t>: 26 Monate</w:t>
      </w:r>
    </w:p>
    <w:p>
      <w:pPr>
        <w:pStyle w:val="ListBullet"/>
      </w:pPr>
      <w:r>
        <w:rPr>
          <w:b/>
        </w:rPr>
        <w:t>Restwert</w:t>
      </w:r>
      <w:r>
        <w:t>: 35.000 EUR (Übernahmeoption)</w:t>
      </w:r>
    </w:p>
    <w:p>
      <w:pPr>
        <w:pStyle w:val="Heading2"/>
      </w:pPr>
      <w:r>
        <w:rPr>
          <w:rFonts w:ascii="Times New Roman" w:hAnsi="Times New Roman"/>
        </w:rPr>
        <w:t>Leasing Plattenaufteilsäge Holzma HPP 380</w:t>
      </w:r>
    </w:p>
    <w:p>
      <w:pPr>
        <w:pStyle w:val="ListBullet"/>
      </w:pPr>
      <w:r>
        <w:rPr>
          <w:b/>
        </w:rPr>
        <w:t>Leasinggeber</w:t>
      </w:r>
      <w:r>
        <w:t>: Aurelis Leasing GmbH</w:t>
      </w:r>
    </w:p>
    <w:p>
      <w:pPr>
        <w:pStyle w:val="ListBullet"/>
      </w:pPr>
      <w:r>
        <w:rPr>
          <w:b/>
        </w:rPr>
        <w:t>Vertrag</w:t>
      </w:r>
      <w:r>
        <w:t>: 22.11.2020, 72 Monate</w:t>
      </w:r>
    </w:p>
    <w:p>
      <w:pPr>
        <w:pStyle w:val="ListBullet"/>
      </w:pPr>
      <w:r>
        <w:rPr>
          <w:b/>
        </w:rPr>
        <w:t>Rate</w:t>
      </w:r>
      <w:r>
        <w:t>: 2.640 EUR / Monat, fällig 25.</w:t>
      </w:r>
    </w:p>
    <w:p>
      <w:pPr>
        <w:pStyle w:val="ListBullet"/>
      </w:pPr>
      <w:r>
        <w:rPr>
          <w:b/>
        </w:rPr>
        <w:t>Restlaufzeit</w:t>
      </w:r>
      <w:r>
        <w:t>: 18 Monate</w:t>
      </w:r>
    </w:p>
    <w:p>
      <w:pPr>
        <w:pStyle w:val="Heading2"/>
      </w:pPr>
      <w:r>
        <w:rPr>
          <w:rFonts w:ascii="Times New Roman" w:hAnsi="Times New Roman"/>
        </w:rPr>
        <w:t>Leasing Gabelstapler Toyota Traigo 80</w:t>
      </w:r>
    </w:p>
    <w:p>
      <w:pPr>
        <w:pStyle w:val="ListBullet"/>
      </w:pPr>
      <w:r>
        <w:rPr>
          <w:b/>
        </w:rPr>
        <w:t>Leasinggeber</w:t>
      </w:r>
      <w:r>
        <w:t>: Toyota Material Handling Deutschland GmbH</w:t>
      </w:r>
    </w:p>
    <w:p>
      <w:pPr>
        <w:pStyle w:val="ListBullet"/>
      </w:pPr>
      <w:r>
        <w:rPr>
          <w:b/>
        </w:rPr>
        <w:t>Vertrag</w:t>
      </w:r>
      <w:r>
        <w:t>: 03.02.2023, 60 Monate</w:t>
      </w:r>
    </w:p>
    <w:p>
      <w:pPr>
        <w:pStyle w:val="ListBullet"/>
      </w:pPr>
      <w:r>
        <w:rPr>
          <w:b/>
        </w:rPr>
        <w:t>Rate</w:t>
      </w:r>
      <w:r>
        <w:t>: 1.820 EUR / Monat, fällig 1.</w:t>
      </w:r>
    </w:p>
    <w:p>
      <w:pPr>
        <w:pStyle w:val="Heading2"/>
      </w:pPr>
      <w:r>
        <w:rPr>
          <w:rFonts w:ascii="Times New Roman" w:hAnsi="Times New Roman"/>
        </w:rPr>
        <w:t>Kredite</w:t>
      </w:r>
    </w:p>
    <w:p>
      <w:pPr>
        <w:pStyle w:val="Heading3"/>
      </w:pPr>
      <w:r>
        <w:rPr>
          <w:rFonts w:ascii="Times New Roman" w:hAnsi="Times New Roman"/>
        </w:rPr>
        <w:t>Investitionskredit (Maschinenpark)</w:t>
      </w:r>
    </w:p>
    <w:p>
      <w:pPr>
        <w:pStyle w:val="ListBullet"/>
      </w:pPr>
      <w:r>
        <w:rPr>
          <w:b/>
        </w:rPr>
        <w:t>Bank</w:t>
      </w:r>
      <w:r>
        <w:t>: Berliner Sparkasse</w:t>
      </w:r>
    </w:p>
    <w:p>
      <w:pPr>
        <w:pStyle w:val="ListBullet"/>
      </w:pPr>
      <w:r>
        <w:rPr>
          <w:b/>
        </w:rPr>
        <w:t>Darlehen</w:t>
      </w:r>
      <w:r>
        <w:t xml:space="preserve">: 220.000 EUR (urspr.), Restvaluta per 30.04.2026: </w:t>
      </w:r>
      <w:r>
        <w:rPr>
          <w:b/>
        </w:rPr>
        <w:t>84.300 EUR</w:t>
      </w:r>
    </w:p>
    <w:p>
      <w:pPr>
        <w:pStyle w:val="ListBullet"/>
      </w:pPr>
      <w:r>
        <w:rPr>
          <w:b/>
        </w:rPr>
        <w:t>Zins</w:t>
      </w:r>
      <w:r>
        <w:t>: 3,80 % fix</w:t>
      </w:r>
    </w:p>
    <w:p>
      <w:pPr>
        <w:pStyle w:val="ListBullet"/>
      </w:pPr>
      <w:r>
        <w:rPr>
          <w:b/>
        </w:rPr>
        <w:t>Tilgung</w:t>
      </w:r>
      <w:r>
        <w:t>: 3.180 EUR/Monat (Zins + Tilgung), fällig 30.</w:t>
      </w:r>
    </w:p>
    <w:p>
      <w:pPr>
        <w:pStyle w:val="ListBullet"/>
      </w:pPr>
      <w:r>
        <w:rPr>
          <w:b/>
        </w:rPr>
        <w:t>Sicherheit</w:t>
      </w:r>
      <w:r>
        <w:t>: Sicherungsübereignung Maschinenpark + Bürgschaft Korbach 80 TEUR</w:t>
      </w:r>
    </w:p>
    <w:p>
      <w:pPr>
        <w:pStyle w:val="Heading3"/>
      </w:pPr>
      <w:r>
        <w:rPr>
          <w:rFonts w:ascii="Times New Roman" w:hAnsi="Times New Roman"/>
        </w:rPr>
        <w:t>Kontokorrent</w:t>
      </w:r>
    </w:p>
    <w:p>
      <w:pPr>
        <w:pStyle w:val="ListBullet"/>
      </w:pPr>
      <w:r>
        <w:rPr>
          <w:b/>
        </w:rPr>
        <w:t>Bank</w:t>
      </w:r>
      <w:r>
        <w:t>: Mittelbrandenburgische Sparkasse</w:t>
      </w:r>
    </w:p>
    <w:p>
      <w:pPr>
        <w:pStyle w:val="ListBullet"/>
      </w:pPr>
      <w:r>
        <w:rPr>
          <w:b/>
        </w:rPr>
        <w:t>Linie</w:t>
      </w:r>
      <w:r>
        <w:t>: 150.000 EUR</w:t>
      </w:r>
    </w:p>
    <w:p>
      <w:pPr>
        <w:pStyle w:val="ListBullet"/>
      </w:pPr>
      <w:r>
        <w:rPr>
          <w:b/>
        </w:rPr>
        <w:t>Inanspruchnahme per 30.04.2026</w:t>
      </w:r>
      <w:r>
        <w:t xml:space="preserve">: </w:t>
      </w:r>
      <w:r>
        <w:rPr>
          <w:b/>
        </w:rPr>
        <w:t>138.400 EUR (92,3 %)</w:t>
      </w:r>
    </w:p>
    <w:p>
      <w:pPr>
        <w:pStyle w:val="ListBullet"/>
      </w:pPr>
      <w:r>
        <w:rPr>
          <w:b/>
        </w:rPr>
        <w:t>Zins</w:t>
      </w:r>
      <w:r>
        <w:t>: 8,75 % p.a. auf Inanspruchnahme, Q1/2026: 2.940 EUR</w:t>
      </w:r>
    </w:p>
    <w:p>
      <w:pPr>
        <w:pStyle w:val="ListBullet"/>
      </w:pPr>
      <w:r>
        <w:rPr>
          <w:b/>
        </w:rPr>
        <w:t>Befristung</w:t>
      </w:r>
      <w:r>
        <w:t>: bis 31.12.2026; Bank hat per Schreiben 22.04.2026 angekündigt,</w:t>
      </w:r>
    </w:p>
    <w:p>
      <w:pPr>
        <w:jc w:val="left"/>
      </w:pPr>
      <w:r>
        <w:t>Linie ab 01.01.2027 auf 80 TEUR zu reduzieren</w:t>
      </w:r>
    </w:p>
    <w:p>
      <w:pPr>
        <w:pStyle w:val="ListBullet"/>
      </w:pPr>
      <w:r>
        <w:rPr>
          <w:b/>
        </w:rPr>
        <w:t>Covenants</w:t>
      </w:r>
      <w:r>
        <w:t>: EK-Quote ≥ 10 % (per 31.12.2025: 4,1 % – Verletzung)</w:t>
      </w:r>
    </w:p>
    <w:p>
      <w:pPr>
        <w:pStyle w:val="ListBullet"/>
      </w:pPr>
      <w:r>
        <w:rPr>
          <w:b/>
        </w:rPr>
        <w:t>Sicherheit</w:t>
      </w:r>
      <w:r>
        <w:t>: Globalzession Forderungen + Bürgschaft Korbach 100 TEUR</w:t>
      </w:r>
    </w:p>
    <w:p>
      <w:pPr>
        <w:pStyle w:val="Heading3"/>
      </w:pPr>
      <w:r>
        <w:rPr>
          <w:rFonts w:ascii="Times New Roman" w:hAnsi="Times New Roman"/>
        </w:rPr>
        <w:t>Gesellschafterdarlehen Korbach</w:t>
      </w:r>
    </w:p>
    <w:p>
      <w:pPr>
        <w:pStyle w:val="ListBullet"/>
      </w:pPr>
      <w:r>
        <w:rPr>
          <w:b/>
        </w:rPr>
        <w:t>Darlehensgeber</w:t>
      </w:r>
      <w:r>
        <w:t>: Friedrich Korbach (privat)</w:t>
      </w:r>
    </w:p>
    <w:p>
      <w:pPr>
        <w:pStyle w:val="ListBullet"/>
      </w:pPr>
      <w:r>
        <w:rPr>
          <w:b/>
        </w:rPr>
        <w:t>Darlehen</w:t>
      </w:r>
      <w:r>
        <w:t>: 120.000 EUR (ausgereicht 03/2023)</w:t>
      </w:r>
    </w:p>
    <w:p>
      <w:pPr>
        <w:pStyle w:val="ListBullet"/>
      </w:pPr>
      <w:r>
        <w:rPr>
          <w:b/>
        </w:rPr>
        <w:t>Zins</w:t>
      </w:r>
      <w:r>
        <w:t>: 3,5 %</w:t>
      </w:r>
    </w:p>
    <w:p>
      <w:pPr>
        <w:pStyle w:val="ListBullet"/>
      </w:pPr>
      <w:r>
        <w:rPr>
          <w:b/>
        </w:rPr>
        <w:t>Tilgung</w:t>
      </w:r>
      <w:r>
        <w:t>: 25.000 EUR / Quartal seit Q1/2025</w:t>
      </w:r>
    </w:p>
    <w:p>
      <w:pPr>
        <w:pStyle w:val="ListBullet"/>
      </w:pPr>
      <w:r>
        <w:rPr>
          <w:b/>
        </w:rPr>
        <w:t>Restvaluta per 30.04.2026</w:t>
      </w:r>
      <w:r>
        <w:t>: 70.000 EUR</w:t>
      </w:r>
    </w:p>
    <w:p>
      <w:pPr>
        <w:pStyle w:val="ListBullet"/>
      </w:pPr>
      <w:r>
        <w:rPr>
          <w:b/>
        </w:rPr>
        <w:t>Rangrücktritt</w:t>
      </w:r>
      <w:r>
        <w:t>: KEIN qualifizierter Rangrücktritt i.S.d. § 39 Abs. 2 InsO</w:t>
      </w:r>
    </w:p>
    <w:p>
      <w:pPr>
        <w:jc w:val="left"/>
      </w:pPr>
      <w:r>
        <w:t>vereinbart → im Überschuldungsstatus zu passivieren</w:t>
      </w:r>
    </w:p>
    <w:p>
      <w:pPr>
        <w:pStyle w:val="Heading2"/>
      </w:pPr>
      <w:r>
        <w:rPr>
          <w:rFonts w:ascii="Times New Roman" w:hAnsi="Times New Roman"/>
        </w:rPr>
        <w:t>Versicherungen (Daueraufträge / Q-Zahler)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Versicherer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Beitrag/Q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Berufshaftpflicht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Allianz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2.480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14.05. / 14.08. / 14.11. / 14.02.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Betriebsinhalt + Maschinen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R+V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1.860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quartalsweise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KFZ-Flotte (3 Fzg.)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HUK-Coburg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1.420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monatlich (475 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Rechtsschutz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jährlich, 01.07.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Energie / Strom / Wasser / Internet (Monat)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Versorger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Betrag/Monat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Fällig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Stromnetz Berlin (Strom Werkstatt)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5.860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 Werktag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Vattenfall Wärme (Heizung)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3.240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Werktag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Berliner Wasserbetriebe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1.180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Vodafone (Internet/Telefon)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Datev (Buchhaltung)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820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Bürgschaften / Avale</w:t>
      </w:r>
    </w:p>
    <w:p>
      <w:pPr>
        <w:pStyle w:val="ListBullet"/>
      </w:pPr>
      <w:r>
        <w:t>Avalrahmen bei Berliner Sparkasse: 40.000 EUR, ausgenutzt: 28.000 EUR</w:t>
      </w:r>
    </w:p>
    <w:p>
      <w:pPr>
        <w:jc w:val="left"/>
      </w:pPr>
      <w:r>
        <w:t>(Gewährleistungsbürgschaft Hotel Lützowufer 28 TEUR, Lauffzeit bis 28.07.2028)</w:t>
      </w:r>
    </w:p>
    <w:p>
      <w:pPr>
        <w:pStyle w:val="Heading2"/>
      </w:pPr>
      <w:r>
        <w:rPr>
          <w:rFonts w:ascii="Times New Roman" w:hAnsi="Times New Roman"/>
        </w:rPr>
        <w:t>Gewährleistung / Rückstellungen</w:t>
      </w:r>
    </w:p>
    <w:p>
      <w:pPr>
        <w:pStyle w:val="ListBullet"/>
      </w:pPr>
      <w:r>
        <w:t>Rückstellung Gewährleistung 2025: 18.000 EUR (Bilanz 31.12.2025)</w:t>
      </w:r>
    </w:p>
    <w:p>
      <w:pPr>
        <w:pStyle w:val="ListBullet"/>
      </w:pPr>
      <w:r>
        <w:t>offene Mängelfälle: Bauträger Spreequartier (strittig, 28,6 TEUR Streitwert)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