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liquiditaetsplan_edelholz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13-Wochen</w:t>
      </w:r>
    </w:p>
    <w:p>
      <w:pPr>
        <w:pStyle w:val="Heading3"/>
      </w:pPr>
      <w:r>
        <w:rPr>
          <w:rFonts w:ascii="Times New Roman" w:hAnsi="Times New Roman"/>
        </w:rPr>
        <w:t>Liquiditätsplan</w:t>
      </w:r>
    </w:p>
    <w:p>
      <w:pPr>
        <w:jc w:val="left"/>
      </w:pPr>
      <w:r>
        <w:t>_Stand: 2026-05-18 – Edelholz Manufaktur Berlin GmbH_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</w:tblGrid>
      <w:tr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Bestand Start Planung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20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21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22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23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24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25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26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27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28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29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30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31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32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33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Kassenbestand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1.850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Kontostand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19.139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Liquidität Wochenanfang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Einnahmen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Umsatzerlöse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121.850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38.400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erhaltene Anzahlungen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sonstige Einnahmen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22.330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14.800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13.680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5.860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31.200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14.380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18.750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Summe Einnahmen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Ausgaben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Löhne und Gehälter einschl. LSt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53.000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53.000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53.500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54.000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Sozialversicherung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41.560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41.700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41.800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Waren/ Material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18.450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12.380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9.870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14.620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14.620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Miete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Heizung/Strom/Wasser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9.100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9.100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9.100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Verwaltung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Werbung/Marketing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Fahrzeug-/Leasingkosten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1.820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2.640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1.820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2.640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1.820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2.640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Versicherungen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2.480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Beratungskosten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820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sonstige Ausgaben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1.180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1.180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6.420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Investitionen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Betriebliche Steuern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3.800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16.840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14.200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sonstige Ausgaben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2.250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Darlehenstilgung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Zinsen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2.940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Privatentnahmen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Summe Ausgaben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Cash Flow Woche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Liquidität Woche Ende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fällige Verb. Folgewoche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27.000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41.000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32.000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32.000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3-Wochen-Lücke (kumuliert)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Lücken-Quote (%)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Ampel § 17 InsO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</w:tbl>
    <w:p>
      <w:pPr>
        <w:pStyle w:val="Heading2"/>
      </w:pPr>
      <w:r>
        <w:rPr>
          <w:rFonts w:ascii="Times New Roman" w:hAnsi="Times New Roman"/>
        </w:rPr>
        <w:t>Sheet: 26-Wochen</w:t>
      </w:r>
    </w:p>
    <w:p>
      <w:pPr>
        <w:pStyle w:val="Heading3"/>
      </w:pPr>
      <w:r>
        <w:rPr>
          <w:rFonts w:ascii="Times New Roman" w:hAnsi="Times New Roman"/>
        </w:rPr>
        <w:t>Liquiditätsplan</w:t>
      </w:r>
    </w:p>
    <w:p>
      <w:pPr>
        <w:jc w:val="left"/>
      </w:pPr>
      <w:r>
        <w:t>_Stand: 2026-05-18 – Edelholz Manufaktur Berlin GmbH_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</w:tblGrid>
      <w:tr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Bestand Start Planung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20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21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22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23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24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25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26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27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28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29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30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31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32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33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34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35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36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37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38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39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40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41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42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43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44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45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46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Kassenbestand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1.850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Kontostand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19.139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Liquidität Wochenanfang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Einnahmen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Umsatzerlöse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121.850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38.400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erhaltene Anzahlungen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sonstige Einnahmen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22.330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14.800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13.680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5.860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31.200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14.380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18.750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Summe Einnahmen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Ausgaben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Löhne und Gehälter einschl. LSt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53.000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53.000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53.500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54.000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Sozialversicherung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41.560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41.700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41.800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Waren/ Material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18.450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12.380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9.870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14.620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14.620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Miete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Heizung/Strom/Wasser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9.100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9.100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9.100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Verwaltung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Werbung/Marketing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Fahrzeug-/Leasingkosten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1.820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2.640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1.820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2.640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1.820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2.640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Versicherungen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2.480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Beratungskosten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820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sonstige Ausgaben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1.180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1.180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6.420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Investitionen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Betriebliche Steuern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3.800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16.840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14.200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sonstige Ausgaben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2.250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Darlehenstilgung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Zinsen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2.940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Privatentnahmen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Summe Ausgaben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Cash Flow Woche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Liquidität Woche Ende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fällige Verb. Folgewoche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27.000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41.000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32.000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32.000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3-Wochen-Lücke (kumuliert)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Lücken-Quote (%)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Ampel § 17 InsO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</w:tbl>
    <w:p>
      <w:pPr>
        <w:pStyle w:val="Heading2"/>
      </w:pPr>
      <w:r>
        <w:rPr>
          <w:rFonts w:ascii="Times New Roman" w:hAnsi="Times New Roman"/>
        </w:rPr>
        <w:t>Sheet: 52-Wochen</w:t>
      </w:r>
    </w:p>
    <w:p>
      <w:pPr>
        <w:pStyle w:val="Heading3"/>
      </w:pPr>
      <w:r>
        <w:rPr>
          <w:rFonts w:ascii="Times New Roman" w:hAnsi="Times New Roman"/>
        </w:rPr>
        <w:t>Liquiditätsplan</w:t>
      </w:r>
    </w:p>
    <w:p>
      <w:pPr>
        <w:jc w:val="left"/>
      </w:pPr>
      <w:r>
        <w:t>_Stand: 2026-05-18 – Edelholz Manufaktur Berlin GmbH_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</w:tblGrid>
      <w:tr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Bestand Start Planung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20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21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22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23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24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25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26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27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28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29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30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31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32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33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34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35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36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37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38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39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40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41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42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43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44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45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46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47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48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49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50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51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52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53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1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2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3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4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5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6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7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8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9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10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11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12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13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14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15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16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17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18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19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Kassenbestand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1.850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Kontostand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19.139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Liquidität Wochenanfang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Einnahmen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Umsatzerlöse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121.850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38.400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erhaltene Anzahlungen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sonstige Einnahmen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22.330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14.800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13.680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5.860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31.200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14.380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18.750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Summe Einnahmen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Ausgaben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Löhne und Gehälter einschl. LSt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53.000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53.000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53.500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54.000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Sozialversicherung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41.560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41.700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41.800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Waren/ Material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18.450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12.380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9.870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14.620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14.620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Miete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Heizung/Strom/Wasser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9.100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9.100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9.100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Verwaltung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Werbung/Marketing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Fahrzeug-/Leasingkosten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1.820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2.640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1.820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2.640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1.820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2.640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Versicherungen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2.480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Beratungskosten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820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sonstige Ausgaben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1.180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1.180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6.420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Investitionen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Betriebliche Steuern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3.800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16.840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14.200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sonstige Ausgaben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2.250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Darlehenstilgung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Zinsen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2.940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Privatentnahmen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Summe Ausgaben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Cash Flow Woche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Liquidität Woche Ende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fällige Verb. Folgewoche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27.000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41.000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32.000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32.000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3-Wochen-Lücke (kumuliert)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Lücken-Quote (%)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Ampel § 17 InsO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</w:tbl>
    <w:p>
      <w:pPr>
        <w:pStyle w:val="Heading2"/>
      </w:pPr>
      <w:r>
        <w:rPr>
          <w:rFonts w:ascii="Times New Roman" w:hAnsi="Times New Roman"/>
        </w:rPr>
        <w:t>Sheet: Fortfuehrungsprognose</w:t>
      </w:r>
    </w:p>
    <w:p>
      <w:pPr>
        <w:pStyle w:val="Heading3"/>
      </w:pPr>
      <w:r>
        <w:rPr>
          <w:rFonts w:ascii="Times New Roman" w:hAnsi="Times New Roman"/>
        </w:rPr>
        <w:t>Fortführungsprognose nach IDW S 6 / IDW S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IDW-S-6-Element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Befund / Annahme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 Auftrag/Auftragsdurchführung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Erstellung 12-Monats-Liquiditätsplan zum Stichtag 18.05.2026 im Auftrag der Geschäftsführung; Beurteilung des Vorliegens eines Insolvenzantragsgrundes nach §§ 17, 19 InsO und Hinweis nach § 102 StaRUG.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 Basisinformationen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Einzelfertigung Edelholz; 20 MA; Jahresumsatz 2025: 2.087 TEUR; Maschinenpark teilmodernisiert; Hausbanken: Berliner Sparkasse (Geschäftskonto), Mittelbrandenburgische Sparkasse (KK 150 TEUR, 92 % ausgenutzt, ab 01.01.2027 Reduzierung auf 80 TEUR angekündigt).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 Krisenstadium und Ursachen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Stadium: Liquiditätskrise (IDW-S-6-Stadienlehre, Tz. 5 ff.). Ursachen: Energiepreisanstieg 2022/23; Bugwelle Lieferantenkredit (64 TEUR überfällig); ausgeschöpfte KK-Linie; SV-Rückstand 65 TEUR; CNC-Antrieb defekt (28 TEUR Reparatur). Indizien § 17 InsO erfüllt: Lastschriftrückgabe 27.03.2026, SV-Rückstände TK (2. Mahnung, Strafanzeige § 266a StGB angedroht), AOK Vollstreckung angekündigt.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 Leitbild des sanierten Unternehmens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Fortführung des Geschäftsmodells Edeltischlerei mit Fokus Hotellerie/Boutique; Reduktion Privatkundengeschäft (Margenproblem); Aufbau wiederkehrender Wartungsverträge bei Bestandshotels.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 Maßnahmen zur Krisenbewältigung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Kurzfristig: Stundung SV-Beiträge mit Ratenplan, Verzicht Gesellschafterdarlehenstilgung Korbach (qualifizierter Rangrücktritt § 39 Abs. 2 InsO), Forderungsverkauf (Factoring) Senatsverwaltung. Mittelfristig: Aufstockung KK-Linie scheitert (Bank kürzt!); Sale-and-Lease-Back CNC-Maschine prüfen; Einlage Gesellschafter 80 TEUR notwendig. Langfristig: Margenanpassung Privatkundengeschäft, Restrukturierungsverfahren StaRUG nur bei nur drohender Zahlungsunfähigkeit (§ 18 InsO) eröffnet – hier ZU bereits eingetreten.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 Integrierte Planung 24+ Monate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Integrierte Planung 24 Monate liegt nicht vor. Skill zeigt: ab KW 22 (25.–31.05.2026) tritt Zahlungsunfähigkeit ein (Liquiditätslücke &gt; 10 %, nicht binnen 3 Wochen schließbar). Erst KW 31 (Zahlung Lützowufer) bringt operative Entlastung – dann aber 9 Wochen Zahlungsunfähigkeit überschritten.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 Aussage Sanierungsfähigkeit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Sanierungsfähigkeit IDW S 6: NEGATIV ohne Frischkapital + qualifizierten Rangrücktritt + Forderungsfactoring. Keine überwiegende Wahrscheinlichkeit branchenüblicher Ertragskraft binnen 24 Monaten.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 Fortbestehensprognose § 19 InsO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Fortbestehensprognose § 19 Abs. 2 InsO: NEGATIV. In Verbindung mit rechnerischer Unterdeckung (negatives bilanzielles EK 31.12.2025: −34 TEUR; im Überschuldungsstatus mit stillen Reserven CNC ca. +60 TEUR positiv, ABER ohne Rangrücktritt Korbach 70 TEUR → Unterdeckung verbleibt) → INSOLVENZRECHTLICHE ÜBERSCHULDUNG INDIZIERT (§ 19 InsO). Antragspflicht 6 Wochen ab Eintritt (§ 15a Abs. 1 Satz 2 InsO). Hinweis § 102 StaRUG zwingend.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Quellen: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• BGH, Urt. v. 24.05.2005 – IX ZR 123/04, BGHZ 163, 134 Rn. 12 ff. (§ 17 InsO).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• BGH, Urt. v. 12.10.2006 – IX ZR 228/03, NJW 2007, 78 Rn. 16 ff. (Indizienkatalog).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• BGH, Urt. v. 19.11.2019 – II ZR 233/18, NJW 2020, 1809 Rn. 17 ff. (Fortbestehensprognose).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• BGH, Urt. v. 09.10.2012 – II ZR 298/11, BGHZ 195, 42 Rn. 12 ff. (insolvenzrechtl. Überschuldung).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• IDW S 6 (Sanierungskonzepte), IDW S 11 (Insolvenzeröffnungsgründe).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• K. Schmidt/Herchen, K. Schmidt, InsO, 20. Aufl. 2023, §§ 17, 19 InsO.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Quellenregel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Quellenregel: Keine Kommentar-, Handbuch-, Aufsatz- oder Tabellenfundstellen aus Modellwissen; nur Nutzerquelle, amtliche/freie Quelle oder lizenzierte Live-Verifikation verwenden.</w:t>
            </w:r>
          </w:p>
        </w:tc>
        <w:tc>
          <w:tcPr>
            <w:tcW w:type="dxa" w:w="3024"/>
          </w:tcPr>
          <w:p/>
        </w:tc>
      </w:tr>
    </w:tbl>
    <w:p>
      <w:pPr>
        <w:pStyle w:val="Heading2"/>
      </w:pPr>
      <w:r>
        <w:rPr>
          <w:rFonts w:ascii="Times New Roman" w:hAnsi="Times New Roman"/>
        </w:rPr>
        <w:t>Sheet: Annahmen</w:t>
      </w:r>
    </w:p>
    <w:p>
      <w:pPr>
        <w:pStyle w:val="Heading3"/>
      </w:pPr>
      <w:r>
        <w:rPr>
          <w:rFonts w:ascii="Times New Roman" w:hAnsi="Times New Roman"/>
        </w:rPr>
        <w:t>Annahmen und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Mandant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Edelholz Manufaktur Berlin 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Rechtsform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Branche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Edeltischlerei / Möbelmanufaktur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Mitarbeiter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Stichtag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2026-05-18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Kassenbestand Start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1.850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Kontostand Start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19.139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Kreditlinie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Kreditlinie genutzt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138.400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Szenario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Base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