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Kanzleinotiz – Erstgespräch mit den Mandanten Straßburger</w:t>
      </w:r>
    </w:p>
    <w:p>
      <w:pPr>
        <w:jc w:val="left"/>
      </w:pPr>
      <w:r>
        <w:rPr>
          <w:b/>
        </w:rPr>
        <w:t>Kanzlei Hauck-Brüggemann Mietrecht</w:t>
      </w:r>
    </w:p>
    <w:p>
      <w:pPr>
        <w:jc w:val="left"/>
      </w:pPr>
      <w:r>
        <w:t xml:space="preserve">Köln, </w:t>
      </w:r>
      <w:r>
        <w:rPr>
          <w:b/>
        </w:rPr>
        <w:t>05. März 2026</w:t>
      </w:r>
    </w:p>
    <w:p>
      <w:pPr>
        <w:jc w:val="left"/>
      </w:pPr>
      <w:r>
        <w:t>Verfasserin: RA'in Vanessa Hauck-Brüggemann</w:t>
      </w:r>
    </w:p>
    <w:p>
      <w:pPr>
        <w:jc w:val="left"/>
      </w:pPr>
      <w:r>
        <w:t>Gesprächsdauer: ca. 90 Minuten</w:t>
      </w:r>
    </w:p>
    <w:p>
      <w:pPr>
        <w:jc w:val="left"/>
      </w:pPr>
      <w:r>
        <w:t>Teilnehmer: Dr. Cornelia Straßburger, Dr. Boris Straßburger-Möhren (Mandanten); Vanessa Hauck-Brüggemann (Anwältin); Carina Falk (Kanzleiassistentin, Protokoll)</w:t>
      </w:r>
    </w:p>
    <w:p/>
    <w:p>
      <w:pPr>
        <w:pStyle w:val="Heading2"/>
      </w:pPr>
      <w:r>
        <w:rPr>
          <w:rFonts w:ascii="Times New Roman" w:hAnsi="Times New Roman"/>
        </w:rPr>
        <w:t>1. Sachverhaltsaufnahme</w:t>
      </w:r>
    </w:p>
    <w:p>
      <w:pPr>
        <w:jc w:val="left"/>
      </w:pPr>
      <w:r>
        <w:t>Die Mandanten erschienen pünktlich um 14:00 Uhr in der Kanzlei. Dr. Cornelia Straßburger schilderte die Situation in geordneter Form, Dr. Boris Straßburger-Möhren ergänzte. Folgende Sachverhaltsaspekte wurden protokolliert:</w:t>
      </w:r>
    </w:p>
    <w:p>
      <w:pPr>
        <w:jc w:val="left"/>
      </w:pPr>
      <w:r>
        <w:rPr>
          <w:b/>
        </w:rPr>
        <w:t>a) Zur Eigenbedarfssituation:</w:t>
      </w:r>
    </w:p>
    <w:p>
      <w:pPr>
        <w:jc w:val="left"/>
      </w:pPr>
      <w:r>
        <w:t>Tochter Theresa Straßburger-Möhren (24) hat Einstellungsbescheid des Referendariats in Köln erhalten. Termin: 01.08.2026, voraussichtliche Dauer 18 Monate. Theresa wohnt derzeit in WG-Zimmer Schildergasse 48, das Ende August 2026 aufgegeben werden muss. Dr. Cornelia Straßburger betont: „Theresa braucht eine eigene Wohnung. Sie kann nicht wieder bei uns in Lindenthal wohnen, das wäre logistisch unmöglich mit den Schulzeiten." Dr. Boris Straßburger-Möhren: „Andere Wohnungen haben wir nicht. Das DG war von Anfang an als Familienwohnung gedacht."</w:t>
      </w:r>
    </w:p>
    <w:p>
      <w:pPr>
        <w:jc w:val="left"/>
      </w:pPr>
      <w:r>
        <w:rPr>
          <w:b/>
        </w:rPr>
        <w:t>b) Zur Schimmelsituation:</w:t>
      </w:r>
    </w:p>
    <w:p>
      <w:pPr>
        <w:jc w:val="left"/>
      </w:pPr>
      <w:r>
        <w:t>Im Dezember 2025 meldeten die Mieter erstmals Schimmelflecken hinter einer Schrankwand im südlichen Schlafzimmer (DG, Giebel). Dr. Boris Straßburger-Möhren erklärt: „Wir haben sofort den Architekten Kollegen Fischer beauftragt, der festgestellt hat, dass die 2018 eingebaute Dampfsperre fehlerhaft ist. Das ist eindeutig kein Nutzungsfehler." Gutachten Wallesch liegt vor, bescheinigt baulichen Mangel ohne Mieterverursachung. Die Mandanten haben die Schadensursache anerkannt und einen Sanierungsauftrag vorbereitet, der aber von den Mietern bisher nicht terminiert wurde. Die Mieter mindern seit 01.02.2026 die Miete um 30 %, was nach Einschätzung der Mandanten überhöht ist.</w:t>
      </w:r>
    </w:p>
    <w:p>
      <w:pPr>
        <w:jc w:val="left"/>
      </w:pPr>
      <w:r>
        <w:rPr>
          <w:b/>
        </w:rPr>
        <w:t>c) Zur WEG-Versammlung:</w:t>
      </w:r>
    </w:p>
    <w:p>
      <w:pPr>
        <w:jc w:val="left"/>
      </w:pPr>
      <w:r>
        <w:t>Am 14.04.2026 findet die ordentliche Eigentümerversammlung statt. Auf der Tagesordnung: u. a. Treppenhaussanierung, Heizungsumstellung. Dr. Boris Straßburger-Möhren: „Ich ahne, dass Herr Kowalczyk (Eigentümer Nr. 3) und Frau Baier-Lichtenberg (Nr. 5) wieder eine überdimensionierte Maßnahme durchsetzen wollen. Die haben eine Mehrheit ohne uns."</w:t>
      </w:r>
    </w:p>
    <w:p>
      <w:pPr>
        <w:jc w:val="left"/>
      </w:pPr>
      <w:r>
        <w:rPr>
          <w:b/>
        </w:rPr>
        <w:t>d) Zur Mietsituation allgemein:</w:t>
      </w:r>
    </w:p>
    <w:p>
      <w:pPr>
        <w:jc w:val="left"/>
      </w:pPr>
      <w:r>
        <w:t>Kaltmiete zuletzt 1.804 EUR/Monat (Staffelmiete Stufe 5), Nebenkosten 380 EUR. Derzeit Mietminderung 30 % = Abzug ca. 541 EUR/Monat. Rückstände seit 02/2026: ca. 1.082 EUR (2 Monate × 541 EUR).</w:t>
      </w:r>
    </w:p>
    <w:p/>
    <w:p>
      <w:pPr>
        <w:pStyle w:val="Heading2"/>
      </w:pPr>
      <w:r>
        <w:rPr>
          <w:rFonts w:ascii="Times New Roman" w:hAnsi="Times New Roman"/>
        </w:rPr>
        <w:t>2. Rechtliche Ersteinschätzung</w:t>
      </w:r>
    </w:p>
    <w:p>
      <w:pPr>
        <w:jc w:val="left"/>
      </w:pPr>
      <w:r>
        <w:rPr>
          <w:b/>
        </w:rPr>
        <w:t>Eigenbedarfskündigung:</w:t>
      </w:r>
    </w:p>
    <w:p>
      <w:pPr>
        <w:jc w:val="left"/>
      </w:pPr>
      <w:r>
        <w:t>Die Voraussetzungen des § 573 Abs. 2 Nr. 2 BGB dürften vorliegen. Theresa ist Familienangehörige (Tochter), der Bedarf ist konkret und nicht vorgetäuscht. Kündigungsfrist: Mietdauer &gt; 8 Jahre → 9 Monate (§ 573c Abs. 1 BGB). Kündigung zum 31.10.2026 bei Zugang Ende Februar 2026. Die Mieter werden voraussichtlich Widerspruch nach § 574 BGB einlegen. Risiko: Verlängerung durch das Gericht möglich, insbesondere für den Vikar Albrecht (Ortsgebundenheit). Zu eruieren: Gibt es Alternativwohnungen im Haus?</w:t>
      </w:r>
    </w:p>
    <w:p>
      <w:pPr>
        <w:jc w:val="left"/>
      </w:pPr>
      <w:r>
        <w:rPr>
          <w:b/>
        </w:rPr>
        <w:t>Mietminderung:</w:t>
      </w:r>
    </w:p>
    <w:p>
      <w:pPr>
        <w:jc w:val="left"/>
      </w:pPr>
      <w:r>
        <w:t>30 % Minderung dürfte für den konkreten Schimmelfleck (ca. 2 m² Fläche in einem von vier Zimmern) hoch angesetzt sein. Angemessen wären nach hiesiger Einschätzung 10–15 %. Allerdings: Bevor wir einklagen, sollte der Mangel beseitigt sein. Sonst schwaches Klageposition.</w:t>
      </w:r>
    </w:p>
    <w:p>
      <w:pPr>
        <w:jc w:val="left"/>
      </w:pPr>
      <w:r>
        <w:rPr>
          <w:b/>
        </w:rPr>
        <w:t>WEG:</w:t>
      </w:r>
    </w:p>
    <w:p>
      <w:pPr>
        <w:jc w:val="left"/>
      </w:pPr>
      <w:r>
        <w:t>Abwarten bis nach der Versammlung. Je nach Beschlussergebnis prüfen wir Anfechtungsklage gem. § 44 WEG. Frist: 1 Monat ab Beschluss.</w:t>
      </w:r>
    </w:p>
    <w:p/>
    <w:p>
      <w:pPr>
        <w:pStyle w:val="Heading2"/>
      </w:pPr>
      <w:r>
        <w:rPr>
          <w:rFonts w:ascii="Times New Roman" w:hAnsi="Times New Roman"/>
        </w:rPr>
        <w:t>3. Vereinbartes Vorgehen</w:t>
      </w:r>
    </w:p>
    <w:p>
      <w:pPr>
        <w:pStyle w:val="ListNumber"/>
      </w:pPr>
      <w:r>
        <w:t>Kündigung per Einschreiben + Gerichtsvollzieher bis 28.02.2026.</w:t>
      </w:r>
    </w:p>
    <w:p>
      <w:pPr>
        <w:pStyle w:val="ListNumber"/>
      </w:pPr>
      <w:r>
        <w:t>Mahnung wegen Mietminderungsrückstands nach Fristablauf 01.03.2026.</w:t>
      </w:r>
    </w:p>
    <w:p>
      <w:pPr>
        <w:pStyle w:val="ListNumber"/>
      </w:pPr>
      <w:r>
        <w:t>Teilnahme an WEG-Versammlung 14.04.2026; ggf. anwaltliche Begleitung.</w:t>
      </w:r>
    </w:p>
    <w:p>
      <w:pPr>
        <w:pStyle w:val="ListNumber"/>
      </w:pPr>
      <w:r>
        <w:t>Nach Widerspruch der Mieter: Prüfung Räumungsklage.</w:t>
      </w:r>
    </w:p>
    <w:p/>
    <w:p>
      <w:pPr>
        <w:pStyle w:val="Heading2"/>
      </w:pPr>
      <w:r>
        <w:rPr>
          <w:rFonts w:ascii="Times New Roman" w:hAnsi="Times New Roman"/>
        </w:rPr>
        <w:t>4. Honorar</w:t>
      </w:r>
    </w:p>
    <w:p>
      <w:pPr>
        <w:jc w:val="left"/>
      </w:pPr>
      <w:r>
        <w:t>Vereinbartes Honorar: gesetzliche Gebühren nach RVG (Gegenstandswert Räumungsklage: Jahresmiete brutto = 12 × 2.184 EUR = 26.208 EUR; WEG-Anfechtung: Gegenstandswert vorläufig 30.000 EUR). Vorschuss: 2.500 EUR, eingegangen am 04.03.2026.</w:t>
      </w:r>
    </w:p>
    <w:p/>
    <w:p>
      <w:pPr>
        <w:jc w:val="left"/>
      </w:pPr>
      <w:r>
        <w:rPr>
          <w:i/>
        </w:rPr>
        <w:t>Kanzleinotiz intern — nicht zur Weiterleitung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