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Kostenvoranschlag – Atelier Konservierung Huck, Bonn</w:t>
      </w:r>
    </w:p>
    <w:p>
      <w:pPr>
        <w:jc w:val="left"/>
      </w:pPr>
      <w:r>
        <w:rPr>
          <w:b/>
        </w:rPr>
        <w:t>Atelier Konservierung und Restaurierung Huck</w:t>
      </w:r>
    </w:p>
    <w:p>
      <w:pPr>
        <w:jc w:val="left"/>
      </w:pPr>
      <w:r>
        <w:t>Dipl.-Restauratorin (FH) Beate Huck</w:t>
      </w:r>
    </w:p>
    <w:p>
      <w:pPr>
        <w:jc w:val="left"/>
      </w:pPr>
      <w:r>
        <w:t>Am Alten Friedhof 18, 53173 Bonn-Godesberg</w:t>
      </w:r>
    </w:p>
    <w:p>
      <w:pPr>
        <w:jc w:val="left"/>
      </w:pPr>
      <w:r>
        <w:t xml:space="preserve">Tel. 0228 / 55 83 12  </w:t>
      </w:r>
      <w:r>
        <w:rPr>
          <w:b/>
        </w:rPr>
        <w:t>E-Mail:</w:t>
      </w:r>
      <w:r>
        <w:t xml:space="preserve"> studio@huck-restaurierung.de</w:t>
      </w:r>
    </w:p>
    <w:p>
      <w:pPr>
        <w:jc w:val="left"/>
      </w:pPr>
      <w:r>
        <w:t>Mitglied: Verband der Restauratoren e. V. (VDR)</w:t>
      </w:r>
    </w:p>
    <w:p/>
    <w:p>
      <w:pPr>
        <w:jc w:val="left"/>
      </w:pPr>
      <w:r>
        <w:rPr>
          <w:b/>
        </w:rPr>
        <w:t>An:</w:t>
      </w:r>
      <w:r>
        <w:t xml:space="preserve"> WEG Rolandstraße 27a, 50677 Köln</w:t>
      </w:r>
    </w:p>
    <w:p>
      <w:pPr>
        <w:jc w:val="left"/>
      </w:pPr>
      <w:r>
        <w:t>c/o Immobilienverwaltung Rheineck GmbH, Kerpener Straße 77, 50937 Köln</w:t>
      </w:r>
    </w:p>
    <w:p>
      <w:pPr>
        <w:jc w:val="left"/>
      </w:pPr>
      <w:r>
        <w:rPr>
          <w:b/>
        </w:rPr>
        <w:t>Betr.:</w:t>
      </w:r>
      <w:r>
        <w:t xml:space="preserve"> Angebot – Treppenhausinstandsetzung, Rolandstraße 27a (Denkmal KD 2017-0341)</w:t>
      </w:r>
    </w:p>
    <w:p>
      <w:pPr>
        <w:jc w:val="left"/>
      </w:pPr>
      <w:r>
        <w:rPr>
          <w:b/>
        </w:rPr>
        <w:t>Datum:</w:t>
      </w:r>
      <w:r>
        <w:t xml:space="preserve"> 14. März 2026  </w:t>
      </w:r>
      <w:r>
        <w:rPr>
          <w:b/>
        </w:rPr>
        <w:t>Angebots-Nr.:</w:t>
      </w:r>
      <w:r>
        <w:t xml:space="preserve"> HK-2026/114</w:t>
      </w:r>
    </w:p>
    <w:p/>
    <w:p>
      <w:pPr>
        <w:pStyle w:val="Heading2"/>
      </w:pPr>
      <w:r>
        <w:rPr>
          <w:rFonts w:ascii="Times New Roman" w:hAnsi="Times New Roman"/>
        </w:rPr>
        <w:t>Vorbemerkung (Denkmalrechtliche Besonderheiten)</w:t>
      </w:r>
    </w:p>
    <w:p>
      <w:pPr>
        <w:jc w:val="left"/>
      </w:pPr>
      <w:r>
        <w:t xml:space="preserve">Das Gebäude Rolandstraße 27a steht unter Denkmalschutz (Eintragung Denkmalliste Köln Nr. KD 2017-0341). Sämtliche Restaurierungsarbeiten am Stuck und an der historischen Ausstattung sind in Abstimmung mit der </w:t>
      </w:r>
      <w:r>
        <w:rPr>
          <w:b/>
        </w:rPr>
        <w:t>Unteren Denkmalbehörde Köln</w:t>
      </w:r>
      <w:r>
        <w:t xml:space="preserve"> (zuständig: Frau Rektorin Dr. Ilse Mönius) durchzuführen und zu dokumentieren. Unser Atelier verfügt über langjährige Erfahrung mit Kölner Denkmalbauten (u. a. Projekt Severinsstraße 112, Projekt Nippeser Markt 4). Die Genehmigungsbegleitung ist im Angebot eingeschlossen.</w:t>
      </w:r>
    </w:p>
    <w:p/>
    <w:p>
      <w:pPr>
        <w:pStyle w:val="Heading2"/>
      </w:pPr>
      <w:r>
        <w:rPr>
          <w:rFonts w:ascii="Times New Roman" w:hAnsi="Times New Roman"/>
        </w:rPr>
        <w:t>Leistungsumfang und Kalkulation</w:t>
      </w:r>
    </w:p>
    <w:p>
      <w:pPr>
        <w:pStyle w:val="Heading3"/>
      </w:pPr>
      <w:r>
        <w:rPr>
          <w:rFonts w:ascii="Times New Roman" w:hAnsi="Times New Roman"/>
        </w:rPr>
        <w:t>Pos. A – Stuckrestaurierung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Teilleistung</w:t>
            </w:r>
          </w:p>
        </w:tc>
        <w:tc>
          <w:tcPr>
            <w:tcW w:type="dxa" w:w="1814"/>
          </w:tcPr>
          <w:p>
            <w:r>
              <w:rPr>
                <w:rFonts w:ascii="Times New Roman" w:hAnsi="Times New Roman"/>
                <w:b/>
                <w:sz w:val="20"/>
              </w:rPr>
              <w:t>Einheit</w:t>
            </w:r>
          </w:p>
        </w:tc>
        <w:tc>
          <w:tcPr>
            <w:tcW w:type="dxa" w:w="1814"/>
          </w:tcPr>
          <w:p>
            <w:r>
              <w:rPr>
                <w:rFonts w:ascii="Times New Roman" w:hAnsi="Times New Roman"/>
                <w:b/>
                <w:sz w:val="20"/>
              </w:rPr>
              <w:t>Menge</w:t>
            </w:r>
          </w:p>
        </w:tc>
        <w:tc>
          <w:tcPr>
            <w:tcW w:type="dxa" w:w="1814"/>
          </w:tcPr>
          <w:p>
            <w:r>
              <w:rPr>
                <w:rFonts w:ascii="Times New Roman" w:hAnsi="Times New Roman"/>
                <w:b/>
                <w:sz w:val="20"/>
              </w:rPr>
              <w:t>EP (EUR)</w:t>
            </w:r>
          </w:p>
        </w:tc>
        <w:tc>
          <w:tcPr>
            <w:tcW w:type="dxa" w:w="1814"/>
          </w:tcPr>
          <w:p>
            <w:r>
              <w:rPr>
                <w:rFonts w:ascii="Times New Roman" w:hAnsi="Times New Roman"/>
                <w:b/>
                <w:sz w:val="20"/>
              </w:rPr>
              <w:t>GP (EUR)</w:t>
            </w:r>
          </w:p>
        </w:tc>
      </w:tr>
      <w:tr>
        <w:tc>
          <w:tcPr>
            <w:tcW w:type="dxa" w:w="1814"/>
          </w:tcPr>
          <w:p>
            <w:r>
              <w:rPr>
                <w:rFonts w:ascii="Times New Roman" w:hAnsi="Times New Roman"/>
                <w:sz w:val="20"/>
              </w:rPr>
              <w:t>Bestandsaufnahme und Kartierung (Ortstermin + Bericht)</w:t>
            </w:r>
          </w:p>
        </w:tc>
        <w:tc>
          <w:tcPr>
            <w:tcW w:type="dxa" w:w="1814"/>
          </w:tcPr>
          <w:p>
            <w:r>
              <w:rPr>
                <w:rFonts w:ascii="Times New Roman" w:hAnsi="Times New Roman"/>
                <w:sz w:val="20"/>
              </w:rPr>
              <w:t>Std.</w:t>
            </w:r>
          </w:p>
        </w:tc>
        <w:tc>
          <w:tcPr>
            <w:tcW w:type="dxa" w:w="1814"/>
          </w:tcPr>
          <w:p>
            <w:r>
              <w:rPr>
                <w:rFonts w:ascii="Times New Roman" w:hAnsi="Times New Roman"/>
                <w:sz w:val="20"/>
              </w:rPr>
              <w:t>8</w:t>
            </w:r>
          </w:p>
        </w:tc>
        <w:tc>
          <w:tcPr>
            <w:tcW w:type="dxa" w:w="1814"/>
          </w:tcPr>
          <w:p>
            <w:r>
              <w:rPr>
                <w:rFonts w:ascii="Times New Roman" w:hAnsi="Times New Roman"/>
                <w:sz w:val="20"/>
              </w:rPr>
              <w:t>95</w:t>
            </w:r>
          </w:p>
        </w:tc>
        <w:tc>
          <w:tcPr>
            <w:tcW w:type="dxa" w:w="1814"/>
          </w:tcPr>
          <w:p>
            <w:r>
              <w:rPr>
                <w:rFonts w:ascii="Times New Roman" w:hAnsi="Times New Roman"/>
                <w:sz w:val="20"/>
              </w:rPr>
              <w:t>760</w:t>
            </w:r>
          </w:p>
        </w:tc>
      </w:tr>
      <w:tr>
        <w:tc>
          <w:tcPr>
            <w:tcW w:type="dxa" w:w="1814"/>
          </w:tcPr>
          <w:p>
            <w:r>
              <w:rPr>
                <w:rFonts w:ascii="Times New Roman" w:hAnsi="Times New Roman"/>
                <w:sz w:val="20"/>
              </w:rPr>
              <w:t>Reinigung historischer Stuck (Nasstechnik)</w:t>
            </w:r>
          </w:p>
        </w:tc>
        <w:tc>
          <w:tcPr>
            <w:tcW w:type="dxa" w:w="1814"/>
          </w:tcPr>
          <w:p>
            <w:r>
              <w:rPr>
                <w:rFonts w:ascii="Times New Roman" w:hAnsi="Times New Roman"/>
                <w:sz w:val="20"/>
              </w:rPr>
              <w:t>m²</w:t>
            </w:r>
          </w:p>
        </w:tc>
        <w:tc>
          <w:tcPr>
            <w:tcW w:type="dxa" w:w="1814"/>
          </w:tcPr>
          <w:p>
            <w:r>
              <w:rPr>
                <w:rFonts w:ascii="Times New Roman" w:hAnsi="Times New Roman"/>
                <w:sz w:val="20"/>
              </w:rPr>
              <w:t>22</w:t>
            </w:r>
          </w:p>
        </w:tc>
        <w:tc>
          <w:tcPr>
            <w:tcW w:type="dxa" w:w="1814"/>
          </w:tcPr>
          <w:p>
            <w:r>
              <w:rPr>
                <w:rFonts w:ascii="Times New Roman" w:hAnsi="Times New Roman"/>
                <w:sz w:val="20"/>
              </w:rPr>
              <w:t>65</w:t>
            </w:r>
          </w:p>
        </w:tc>
        <w:tc>
          <w:tcPr>
            <w:tcW w:type="dxa" w:w="1814"/>
          </w:tcPr>
          <w:p>
            <w:r>
              <w:rPr>
                <w:rFonts w:ascii="Times New Roman" w:hAnsi="Times New Roman"/>
                <w:sz w:val="20"/>
              </w:rPr>
              <w:t>1.430</w:t>
            </w:r>
          </w:p>
        </w:tc>
      </w:tr>
      <w:tr>
        <w:tc>
          <w:tcPr>
            <w:tcW w:type="dxa" w:w="1814"/>
          </w:tcPr>
          <w:p>
            <w:r>
              <w:rPr>
                <w:rFonts w:ascii="Times New Roman" w:hAnsi="Times New Roman"/>
                <w:sz w:val="20"/>
              </w:rPr>
              <w:t>Schadhafte Stuckprofile abformen, Musterabguss</w:t>
            </w:r>
          </w:p>
        </w:tc>
        <w:tc>
          <w:tcPr>
            <w:tcW w:type="dxa" w:w="1814"/>
          </w:tcPr>
          <w:p>
            <w:r>
              <w:rPr>
                <w:rFonts w:ascii="Times New Roman" w:hAnsi="Times New Roman"/>
                <w:sz w:val="20"/>
              </w:rPr>
              <w:t>Stk</w:t>
            </w:r>
          </w:p>
        </w:tc>
        <w:tc>
          <w:tcPr>
            <w:tcW w:type="dxa" w:w="1814"/>
          </w:tcPr>
          <w:p>
            <w:r>
              <w:rPr>
                <w:rFonts w:ascii="Times New Roman" w:hAnsi="Times New Roman"/>
                <w:sz w:val="20"/>
              </w:rPr>
              <w:t>3</w:t>
            </w:r>
          </w:p>
        </w:tc>
        <w:tc>
          <w:tcPr>
            <w:tcW w:type="dxa" w:w="1814"/>
          </w:tcPr>
          <w:p>
            <w:r>
              <w:rPr>
                <w:rFonts w:ascii="Times New Roman" w:hAnsi="Times New Roman"/>
                <w:sz w:val="20"/>
              </w:rPr>
              <w:t>420</w:t>
            </w:r>
          </w:p>
        </w:tc>
        <w:tc>
          <w:tcPr>
            <w:tcW w:type="dxa" w:w="1814"/>
          </w:tcPr>
          <w:p>
            <w:r>
              <w:rPr>
                <w:rFonts w:ascii="Times New Roman" w:hAnsi="Times New Roman"/>
                <w:sz w:val="20"/>
              </w:rPr>
              <w:t>1.260</w:t>
            </w:r>
          </w:p>
        </w:tc>
      </w:tr>
      <w:tr>
        <w:tc>
          <w:tcPr>
            <w:tcW w:type="dxa" w:w="1814"/>
          </w:tcPr>
          <w:p>
            <w:r>
              <w:rPr>
                <w:rFonts w:ascii="Times New Roman" w:hAnsi="Times New Roman"/>
                <w:sz w:val="20"/>
              </w:rPr>
              <w:t>Stuckprofile restaurieren/ergänzen (Kunstharzgebunden)</w:t>
            </w:r>
          </w:p>
        </w:tc>
        <w:tc>
          <w:tcPr>
            <w:tcW w:type="dxa" w:w="1814"/>
          </w:tcPr>
          <w:p>
            <w:r>
              <w:rPr>
                <w:rFonts w:ascii="Times New Roman" w:hAnsi="Times New Roman"/>
                <w:sz w:val="20"/>
              </w:rPr>
              <w:t>lfm</w:t>
            </w:r>
          </w:p>
        </w:tc>
        <w:tc>
          <w:tcPr>
            <w:tcW w:type="dxa" w:w="1814"/>
          </w:tcPr>
          <w:p>
            <w:r>
              <w:rPr>
                <w:rFonts w:ascii="Times New Roman" w:hAnsi="Times New Roman"/>
                <w:sz w:val="20"/>
              </w:rPr>
              <w:t>12</w:t>
            </w:r>
          </w:p>
        </w:tc>
        <w:tc>
          <w:tcPr>
            <w:tcW w:type="dxa" w:w="1814"/>
          </w:tcPr>
          <w:p>
            <w:r>
              <w:rPr>
                <w:rFonts w:ascii="Times New Roman" w:hAnsi="Times New Roman"/>
                <w:sz w:val="20"/>
              </w:rPr>
              <w:t>385</w:t>
            </w:r>
          </w:p>
        </w:tc>
        <w:tc>
          <w:tcPr>
            <w:tcW w:type="dxa" w:w="1814"/>
          </w:tcPr>
          <w:p>
            <w:r>
              <w:rPr>
                <w:rFonts w:ascii="Times New Roman" w:hAnsi="Times New Roman"/>
                <w:sz w:val="20"/>
              </w:rPr>
              <w:t>4.620</w:t>
            </w:r>
          </w:p>
        </w:tc>
      </w:tr>
      <w:tr>
        <w:tc>
          <w:tcPr>
            <w:tcW w:type="dxa" w:w="1814"/>
          </w:tcPr>
          <w:p>
            <w:r>
              <w:rPr>
                <w:rFonts w:ascii="Times New Roman" w:hAnsi="Times New Roman"/>
                <w:sz w:val="20"/>
              </w:rPr>
              <w:t>Fehlende Rosettensegmente Rekonstruktion (Kalk-Gips)</w:t>
            </w:r>
          </w:p>
        </w:tc>
        <w:tc>
          <w:tcPr>
            <w:tcW w:type="dxa" w:w="1814"/>
          </w:tcPr>
          <w:p>
            <w:r>
              <w:rPr>
                <w:rFonts w:ascii="Times New Roman" w:hAnsi="Times New Roman"/>
                <w:sz w:val="20"/>
              </w:rPr>
              <w:t>Stk</w:t>
            </w:r>
          </w:p>
        </w:tc>
        <w:tc>
          <w:tcPr>
            <w:tcW w:type="dxa" w:w="1814"/>
          </w:tcPr>
          <w:p>
            <w:r>
              <w:rPr>
                <w:rFonts w:ascii="Times New Roman" w:hAnsi="Times New Roman"/>
                <w:sz w:val="20"/>
              </w:rPr>
              <w:t>2</w:t>
            </w:r>
          </w:p>
        </w:tc>
        <w:tc>
          <w:tcPr>
            <w:tcW w:type="dxa" w:w="1814"/>
          </w:tcPr>
          <w:p>
            <w:r>
              <w:rPr>
                <w:rFonts w:ascii="Times New Roman" w:hAnsi="Times New Roman"/>
                <w:sz w:val="20"/>
              </w:rPr>
              <w:t>720</w:t>
            </w:r>
          </w:p>
        </w:tc>
        <w:tc>
          <w:tcPr>
            <w:tcW w:type="dxa" w:w="1814"/>
          </w:tcPr>
          <w:p>
            <w:r>
              <w:rPr>
                <w:rFonts w:ascii="Times New Roman" w:hAnsi="Times New Roman"/>
                <w:sz w:val="20"/>
              </w:rPr>
              <w:t>1.440</w:t>
            </w:r>
          </w:p>
        </w:tc>
      </w:tr>
      <w:tr>
        <w:tc>
          <w:tcPr>
            <w:tcW w:type="dxa" w:w="1814"/>
          </w:tcPr>
          <w:p>
            <w:r>
              <w:rPr>
                <w:rFonts w:ascii="Times New Roman" w:hAnsi="Times New Roman"/>
                <w:sz w:val="20"/>
              </w:rPr>
              <w:t>Beiputzarbeiten, Angleichen</w:t>
            </w:r>
          </w:p>
        </w:tc>
        <w:tc>
          <w:tcPr>
            <w:tcW w:type="dxa" w:w="1814"/>
          </w:tcPr>
          <w:p>
            <w:r>
              <w:rPr>
                <w:rFonts w:ascii="Times New Roman" w:hAnsi="Times New Roman"/>
                <w:sz w:val="20"/>
              </w:rPr>
              <w:t>m²</w:t>
            </w:r>
          </w:p>
        </w:tc>
        <w:tc>
          <w:tcPr>
            <w:tcW w:type="dxa" w:w="1814"/>
          </w:tcPr>
          <w:p>
            <w:r>
              <w:rPr>
                <w:rFonts w:ascii="Times New Roman" w:hAnsi="Times New Roman"/>
                <w:sz w:val="20"/>
              </w:rPr>
              <w:t>22</w:t>
            </w:r>
          </w:p>
        </w:tc>
        <w:tc>
          <w:tcPr>
            <w:tcW w:type="dxa" w:w="1814"/>
          </w:tcPr>
          <w:p>
            <w:r>
              <w:rPr>
                <w:rFonts w:ascii="Times New Roman" w:hAnsi="Times New Roman"/>
                <w:sz w:val="20"/>
              </w:rPr>
              <w:t>90</w:t>
            </w:r>
          </w:p>
        </w:tc>
        <w:tc>
          <w:tcPr>
            <w:tcW w:type="dxa" w:w="1814"/>
          </w:tcPr>
          <w:p>
            <w:r>
              <w:rPr>
                <w:rFonts w:ascii="Times New Roman" w:hAnsi="Times New Roman"/>
                <w:sz w:val="20"/>
              </w:rPr>
              <w:t>1.980</w:t>
            </w:r>
          </w:p>
        </w:tc>
      </w:tr>
      <w:tr>
        <w:tc>
          <w:tcPr>
            <w:tcW w:type="dxa" w:w="1814"/>
          </w:tcPr>
          <w:p>
            <w:r>
              <w:rPr>
                <w:rFonts w:ascii="Times New Roman" w:hAnsi="Times New Roman"/>
                <w:sz w:val="20"/>
              </w:rPr>
              <w:t>Denkmalbehörde: Vor- und Nachgespräche, Dokumentation</w:t>
            </w:r>
          </w:p>
        </w:tc>
        <w:tc>
          <w:tcPr>
            <w:tcW w:type="dxa" w:w="1814"/>
          </w:tcPr>
          <w:p>
            <w:r>
              <w:rPr>
                <w:rFonts w:ascii="Times New Roman" w:hAnsi="Times New Roman"/>
                <w:sz w:val="20"/>
              </w:rPr>
              <w:t>Std.</w:t>
            </w:r>
          </w:p>
        </w:tc>
        <w:tc>
          <w:tcPr>
            <w:tcW w:type="dxa" w:w="1814"/>
          </w:tcPr>
          <w:p>
            <w:r>
              <w:rPr>
                <w:rFonts w:ascii="Times New Roman" w:hAnsi="Times New Roman"/>
                <w:sz w:val="20"/>
              </w:rPr>
              <w:t>12</w:t>
            </w:r>
          </w:p>
        </w:tc>
        <w:tc>
          <w:tcPr>
            <w:tcW w:type="dxa" w:w="1814"/>
          </w:tcPr>
          <w:p>
            <w:r>
              <w:rPr>
                <w:rFonts w:ascii="Times New Roman" w:hAnsi="Times New Roman"/>
                <w:sz w:val="20"/>
              </w:rPr>
              <w:t>95</w:t>
            </w:r>
          </w:p>
        </w:tc>
        <w:tc>
          <w:tcPr>
            <w:tcW w:type="dxa" w:w="1814"/>
          </w:tcPr>
          <w:p>
            <w:r>
              <w:rPr>
                <w:rFonts w:ascii="Times New Roman" w:hAnsi="Times New Roman"/>
                <w:sz w:val="20"/>
              </w:rPr>
              <w:t>1.140</w:t>
            </w:r>
          </w:p>
        </w:tc>
      </w:tr>
      <w:tr>
        <w:tc>
          <w:tcPr>
            <w:tcW w:type="dxa" w:w="1814"/>
          </w:tcPr>
          <w:p>
            <w:r>
              <w:rPr>
                <w:rFonts w:ascii="Times New Roman" w:hAnsi="Times New Roman"/>
                <w:b/>
                <w:sz w:val="20"/>
              </w:rPr>
              <w:t>Teilsumme A</w:t>
            </w:r>
          </w:p>
        </w:tc>
        <w:tc>
          <w:tcPr>
            <w:tcW w:type="dxa" w:w="1814"/>
          </w:tcPr>
          <w:p/>
        </w:tc>
        <w:tc>
          <w:tcPr>
            <w:tcW w:type="dxa" w:w="1814"/>
          </w:tcPr>
          <w:p/>
        </w:tc>
        <w:tc>
          <w:tcPr>
            <w:tcW w:type="dxa" w:w="1814"/>
          </w:tcPr>
          <w:p/>
        </w:tc>
        <w:tc>
          <w:tcPr>
            <w:tcW w:type="dxa" w:w="1814"/>
          </w:tcPr>
          <w:p>
            <w:r>
              <w:rPr>
                <w:rFonts w:ascii="Times New Roman" w:hAnsi="Times New Roman"/>
                <w:b/>
                <w:sz w:val="20"/>
              </w:rPr>
              <w:t>12.630</w:t>
            </w:r>
          </w:p>
        </w:tc>
      </w:tr>
    </w:tbl>
    <w:p>
      <w:pPr>
        <w:pStyle w:val="Heading3"/>
      </w:pPr>
      <w:r>
        <w:rPr>
          <w:rFonts w:ascii="Times New Roman" w:hAnsi="Times New Roman"/>
        </w:rPr>
        <w:t>Pos. B – Parkett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Teilleistung</w:t>
            </w:r>
          </w:p>
        </w:tc>
        <w:tc>
          <w:tcPr>
            <w:tcW w:type="dxa" w:w="1814"/>
          </w:tcPr>
          <w:p>
            <w:r>
              <w:rPr>
                <w:rFonts w:ascii="Times New Roman" w:hAnsi="Times New Roman"/>
                <w:b/>
                <w:sz w:val="20"/>
              </w:rPr>
              <w:t>Einheit</w:t>
            </w:r>
          </w:p>
        </w:tc>
        <w:tc>
          <w:tcPr>
            <w:tcW w:type="dxa" w:w="1814"/>
          </w:tcPr>
          <w:p>
            <w:r>
              <w:rPr>
                <w:rFonts w:ascii="Times New Roman" w:hAnsi="Times New Roman"/>
                <w:b/>
                <w:sz w:val="20"/>
              </w:rPr>
              <w:t>Menge</w:t>
            </w:r>
          </w:p>
        </w:tc>
        <w:tc>
          <w:tcPr>
            <w:tcW w:type="dxa" w:w="1814"/>
          </w:tcPr>
          <w:p>
            <w:r>
              <w:rPr>
                <w:rFonts w:ascii="Times New Roman" w:hAnsi="Times New Roman"/>
                <w:b/>
                <w:sz w:val="20"/>
              </w:rPr>
              <w:t>EP (EUR)</w:t>
            </w:r>
          </w:p>
        </w:tc>
        <w:tc>
          <w:tcPr>
            <w:tcW w:type="dxa" w:w="1814"/>
          </w:tcPr>
          <w:p>
            <w:r>
              <w:rPr>
                <w:rFonts w:ascii="Times New Roman" w:hAnsi="Times New Roman"/>
                <w:b/>
                <w:sz w:val="20"/>
              </w:rPr>
              <w:t>GP (EUR)</w:t>
            </w:r>
          </w:p>
        </w:tc>
      </w:tr>
      <w:tr>
        <w:tc>
          <w:tcPr>
            <w:tcW w:type="dxa" w:w="1814"/>
          </w:tcPr>
          <w:p>
            <w:r>
              <w:rPr>
                <w:rFonts w:ascii="Times New Roman" w:hAnsi="Times New Roman"/>
                <w:sz w:val="20"/>
              </w:rPr>
              <w:t>Parkettbefund, Zustandskartierung</w:t>
            </w:r>
          </w:p>
        </w:tc>
        <w:tc>
          <w:tcPr>
            <w:tcW w:type="dxa" w:w="1814"/>
          </w:tcPr>
          <w:p>
            <w:r>
              <w:rPr>
                <w:rFonts w:ascii="Times New Roman" w:hAnsi="Times New Roman"/>
                <w:sz w:val="20"/>
              </w:rPr>
              <w:t>Std.</w:t>
            </w:r>
          </w:p>
        </w:tc>
        <w:tc>
          <w:tcPr>
            <w:tcW w:type="dxa" w:w="1814"/>
          </w:tcPr>
          <w:p>
            <w:r>
              <w:rPr>
                <w:rFonts w:ascii="Times New Roman" w:hAnsi="Times New Roman"/>
                <w:sz w:val="20"/>
              </w:rPr>
              <w:t>4</w:t>
            </w:r>
          </w:p>
        </w:tc>
        <w:tc>
          <w:tcPr>
            <w:tcW w:type="dxa" w:w="1814"/>
          </w:tcPr>
          <w:p>
            <w:r>
              <w:rPr>
                <w:rFonts w:ascii="Times New Roman" w:hAnsi="Times New Roman"/>
                <w:sz w:val="20"/>
              </w:rPr>
              <w:t>95</w:t>
            </w:r>
          </w:p>
        </w:tc>
        <w:tc>
          <w:tcPr>
            <w:tcW w:type="dxa" w:w="1814"/>
          </w:tcPr>
          <w:p>
            <w:r>
              <w:rPr>
                <w:rFonts w:ascii="Times New Roman" w:hAnsi="Times New Roman"/>
                <w:sz w:val="20"/>
              </w:rPr>
              <w:t>380</w:t>
            </w:r>
          </w:p>
        </w:tc>
      </w:tr>
      <w:tr>
        <w:tc>
          <w:tcPr>
            <w:tcW w:type="dxa" w:w="1814"/>
          </w:tcPr>
          <w:p>
            <w:r>
              <w:rPr>
                <w:rFonts w:ascii="Times New Roman" w:hAnsi="Times New Roman"/>
                <w:sz w:val="20"/>
              </w:rPr>
              <w:t>Einzel-Stab-Austausch Eiche passend alt</w:t>
            </w:r>
          </w:p>
        </w:tc>
        <w:tc>
          <w:tcPr>
            <w:tcW w:type="dxa" w:w="1814"/>
          </w:tcPr>
          <w:p>
            <w:r>
              <w:rPr>
                <w:rFonts w:ascii="Times New Roman" w:hAnsi="Times New Roman"/>
                <w:sz w:val="20"/>
              </w:rPr>
              <w:t>Stk</w:t>
            </w:r>
          </w:p>
        </w:tc>
        <w:tc>
          <w:tcPr>
            <w:tcW w:type="dxa" w:w="1814"/>
          </w:tcPr>
          <w:p>
            <w:r>
              <w:rPr>
                <w:rFonts w:ascii="Times New Roman" w:hAnsi="Times New Roman"/>
                <w:sz w:val="20"/>
              </w:rPr>
              <w:t>65</w:t>
            </w:r>
          </w:p>
        </w:tc>
        <w:tc>
          <w:tcPr>
            <w:tcW w:type="dxa" w:w="1814"/>
          </w:tcPr>
          <w:p>
            <w:r>
              <w:rPr>
                <w:rFonts w:ascii="Times New Roman" w:hAnsi="Times New Roman"/>
                <w:sz w:val="20"/>
              </w:rPr>
              <w:t>24</w:t>
            </w:r>
          </w:p>
        </w:tc>
        <w:tc>
          <w:tcPr>
            <w:tcW w:type="dxa" w:w="1814"/>
          </w:tcPr>
          <w:p>
            <w:r>
              <w:rPr>
                <w:rFonts w:ascii="Times New Roman" w:hAnsi="Times New Roman"/>
                <w:sz w:val="20"/>
              </w:rPr>
              <w:t>1.560</w:t>
            </w:r>
          </w:p>
        </w:tc>
      </w:tr>
      <w:tr>
        <w:tc>
          <w:tcPr>
            <w:tcW w:type="dxa" w:w="1814"/>
          </w:tcPr>
          <w:p>
            <w:r>
              <w:rPr>
                <w:rFonts w:ascii="Times New Roman" w:hAnsi="Times New Roman"/>
                <w:sz w:val="20"/>
              </w:rPr>
              <w:t>Schleifen (3 Gänge), Grundieren</w:t>
            </w:r>
          </w:p>
        </w:tc>
        <w:tc>
          <w:tcPr>
            <w:tcW w:type="dxa" w:w="1814"/>
          </w:tcPr>
          <w:p>
            <w:r>
              <w:rPr>
                <w:rFonts w:ascii="Times New Roman" w:hAnsi="Times New Roman"/>
                <w:sz w:val="20"/>
              </w:rPr>
              <w:t>m²</w:t>
            </w:r>
          </w:p>
        </w:tc>
        <w:tc>
          <w:tcPr>
            <w:tcW w:type="dxa" w:w="1814"/>
          </w:tcPr>
          <w:p>
            <w:r>
              <w:rPr>
                <w:rFonts w:ascii="Times New Roman" w:hAnsi="Times New Roman"/>
                <w:sz w:val="20"/>
              </w:rPr>
              <w:t>60</w:t>
            </w:r>
          </w:p>
        </w:tc>
        <w:tc>
          <w:tcPr>
            <w:tcW w:type="dxa" w:w="1814"/>
          </w:tcPr>
          <w:p>
            <w:r>
              <w:rPr>
                <w:rFonts w:ascii="Times New Roman" w:hAnsi="Times New Roman"/>
                <w:sz w:val="20"/>
              </w:rPr>
              <w:t>42</w:t>
            </w:r>
          </w:p>
        </w:tc>
        <w:tc>
          <w:tcPr>
            <w:tcW w:type="dxa" w:w="1814"/>
          </w:tcPr>
          <w:p>
            <w:r>
              <w:rPr>
                <w:rFonts w:ascii="Times New Roman" w:hAnsi="Times New Roman"/>
                <w:sz w:val="20"/>
              </w:rPr>
              <w:t>2.520</w:t>
            </w:r>
          </w:p>
        </w:tc>
      </w:tr>
      <w:tr>
        <w:tc>
          <w:tcPr>
            <w:tcW w:type="dxa" w:w="1814"/>
          </w:tcPr>
          <w:p>
            <w:r>
              <w:rPr>
                <w:rFonts w:ascii="Times New Roman" w:hAnsi="Times New Roman"/>
                <w:sz w:val="20"/>
              </w:rPr>
              <w:t>Naturöl-Finish (Liestal, laugenbehandelt)</w:t>
            </w:r>
          </w:p>
        </w:tc>
        <w:tc>
          <w:tcPr>
            <w:tcW w:type="dxa" w:w="1814"/>
          </w:tcPr>
          <w:p>
            <w:r>
              <w:rPr>
                <w:rFonts w:ascii="Times New Roman" w:hAnsi="Times New Roman"/>
                <w:sz w:val="20"/>
              </w:rPr>
              <w:t>m²</w:t>
            </w:r>
          </w:p>
        </w:tc>
        <w:tc>
          <w:tcPr>
            <w:tcW w:type="dxa" w:w="1814"/>
          </w:tcPr>
          <w:p>
            <w:r>
              <w:rPr>
                <w:rFonts w:ascii="Times New Roman" w:hAnsi="Times New Roman"/>
                <w:sz w:val="20"/>
              </w:rPr>
              <w:t>60</w:t>
            </w:r>
          </w:p>
        </w:tc>
        <w:tc>
          <w:tcPr>
            <w:tcW w:type="dxa" w:w="1814"/>
          </w:tcPr>
          <w:p>
            <w:r>
              <w:rPr>
                <w:rFonts w:ascii="Times New Roman" w:hAnsi="Times New Roman"/>
                <w:sz w:val="20"/>
              </w:rPr>
              <w:t>22</w:t>
            </w:r>
          </w:p>
        </w:tc>
        <w:tc>
          <w:tcPr>
            <w:tcW w:type="dxa" w:w="1814"/>
          </w:tcPr>
          <w:p>
            <w:r>
              <w:rPr>
                <w:rFonts w:ascii="Times New Roman" w:hAnsi="Times New Roman"/>
                <w:sz w:val="20"/>
              </w:rPr>
              <w:t>1.320</w:t>
            </w:r>
          </w:p>
        </w:tc>
      </w:tr>
      <w:tr>
        <w:tc>
          <w:tcPr>
            <w:tcW w:type="dxa" w:w="1814"/>
          </w:tcPr>
          <w:p>
            <w:r>
              <w:rPr>
                <w:rFonts w:ascii="Times New Roman" w:hAnsi="Times New Roman"/>
                <w:b/>
                <w:sz w:val="20"/>
              </w:rPr>
              <w:t>Teilsumme B</w:t>
            </w:r>
          </w:p>
        </w:tc>
        <w:tc>
          <w:tcPr>
            <w:tcW w:type="dxa" w:w="1814"/>
          </w:tcPr>
          <w:p/>
        </w:tc>
        <w:tc>
          <w:tcPr>
            <w:tcW w:type="dxa" w:w="1814"/>
          </w:tcPr>
          <w:p/>
        </w:tc>
        <w:tc>
          <w:tcPr>
            <w:tcW w:type="dxa" w:w="1814"/>
          </w:tcPr>
          <w:p/>
        </w:tc>
        <w:tc>
          <w:tcPr>
            <w:tcW w:type="dxa" w:w="1814"/>
          </w:tcPr>
          <w:p>
            <w:r>
              <w:rPr>
                <w:rFonts w:ascii="Times New Roman" w:hAnsi="Times New Roman"/>
                <w:b/>
                <w:sz w:val="20"/>
              </w:rPr>
              <w:t>5.780</w:t>
            </w:r>
          </w:p>
        </w:tc>
      </w:tr>
    </w:tbl>
    <w:p>
      <w:pPr>
        <w:pStyle w:val="Heading3"/>
      </w:pPr>
      <w:r>
        <w:rPr>
          <w:rFonts w:ascii="Times New Roman" w:hAnsi="Times New Roman"/>
        </w:rPr>
        <w:t>Pos. C – Beleuchtung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Teilleistung</w:t>
            </w:r>
          </w:p>
        </w:tc>
        <w:tc>
          <w:tcPr>
            <w:tcW w:type="dxa" w:w="1814"/>
          </w:tcPr>
          <w:p>
            <w:r>
              <w:rPr>
                <w:rFonts w:ascii="Times New Roman" w:hAnsi="Times New Roman"/>
                <w:b/>
                <w:sz w:val="20"/>
              </w:rPr>
              <w:t>Einheit</w:t>
            </w:r>
          </w:p>
        </w:tc>
        <w:tc>
          <w:tcPr>
            <w:tcW w:type="dxa" w:w="1814"/>
          </w:tcPr>
          <w:p>
            <w:r>
              <w:rPr>
                <w:rFonts w:ascii="Times New Roman" w:hAnsi="Times New Roman"/>
                <w:b/>
                <w:sz w:val="20"/>
              </w:rPr>
              <w:t>Menge</w:t>
            </w:r>
          </w:p>
        </w:tc>
        <w:tc>
          <w:tcPr>
            <w:tcW w:type="dxa" w:w="1814"/>
          </w:tcPr>
          <w:p>
            <w:r>
              <w:rPr>
                <w:rFonts w:ascii="Times New Roman" w:hAnsi="Times New Roman"/>
                <w:b/>
                <w:sz w:val="20"/>
              </w:rPr>
              <w:t>EP (EUR)</w:t>
            </w:r>
          </w:p>
        </w:tc>
        <w:tc>
          <w:tcPr>
            <w:tcW w:type="dxa" w:w="1814"/>
          </w:tcPr>
          <w:p>
            <w:r>
              <w:rPr>
                <w:rFonts w:ascii="Times New Roman" w:hAnsi="Times New Roman"/>
                <w:b/>
                <w:sz w:val="20"/>
              </w:rPr>
              <w:t>GP (EUR)</w:t>
            </w:r>
          </w:p>
        </w:tc>
      </w:tr>
      <w:tr>
        <w:tc>
          <w:tcPr>
            <w:tcW w:type="dxa" w:w="1814"/>
          </w:tcPr>
          <w:p>
            <w:r>
              <w:rPr>
                <w:rFonts w:ascii="Times New Roman" w:hAnsi="Times New Roman"/>
                <w:sz w:val="20"/>
              </w:rPr>
              <w:t>Demontage, Reinigung, Konservierung Porzellanguss</w:t>
            </w:r>
          </w:p>
        </w:tc>
        <w:tc>
          <w:tcPr>
            <w:tcW w:type="dxa" w:w="1814"/>
          </w:tcPr>
          <w:p>
            <w:r>
              <w:rPr>
                <w:rFonts w:ascii="Times New Roman" w:hAnsi="Times New Roman"/>
                <w:sz w:val="20"/>
              </w:rPr>
              <w:t>Stk</w:t>
            </w:r>
          </w:p>
        </w:tc>
        <w:tc>
          <w:tcPr>
            <w:tcW w:type="dxa" w:w="1814"/>
          </w:tcPr>
          <w:p>
            <w:r>
              <w:rPr>
                <w:rFonts w:ascii="Times New Roman" w:hAnsi="Times New Roman"/>
                <w:sz w:val="20"/>
              </w:rPr>
              <w:t>5</w:t>
            </w:r>
          </w:p>
        </w:tc>
        <w:tc>
          <w:tcPr>
            <w:tcW w:type="dxa" w:w="1814"/>
          </w:tcPr>
          <w:p>
            <w:r>
              <w:rPr>
                <w:rFonts w:ascii="Times New Roman" w:hAnsi="Times New Roman"/>
                <w:sz w:val="20"/>
              </w:rPr>
              <w:t>280</w:t>
            </w:r>
          </w:p>
        </w:tc>
        <w:tc>
          <w:tcPr>
            <w:tcW w:type="dxa" w:w="1814"/>
          </w:tcPr>
          <w:p>
            <w:r>
              <w:rPr>
                <w:rFonts w:ascii="Times New Roman" w:hAnsi="Times New Roman"/>
                <w:sz w:val="20"/>
              </w:rPr>
              <w:t>1.400</w:t>
            </w:r>
          </w:p>
        </w:tc>
      </w:tr>
      <w:tr>
        <w:tc>
          <w:tcPr>
            <w:tcW w:type="dxa" w:w="1814"/>
          </w:tcPr>
          <w:p>
            <w:r>
              <w:rPr>
                <w:rFonts w:ascii="Times New Roman" w:hAnsi="Times New Roman"/>
                <w:sz w:val="20"/>
              </w:rPr>
              <w:t>Leitungsführung normgerecht (Elektrobetrieb Kooperation)</w:t>
            </w:r>
          </w:p>
        </w:tc>
        <w:tc>
          <w:tcPr>
            <w:tcW w:type="dxa" w:w="1814"/>
          </w:tcPr>
          <w:p>
            <w:r>
              <w:rPr>
                <w:rFonts w:ascii="Times New Roman" w:hAnsi="Times New Roman"/>
                <w:sz w:val="20"/>
              </w:rPr>
              <w:t>pauschal</w:t>
            </w:r>
          </w:p>
        </w:tc>
        <w:tc>
          <w:tcPr>
            <w:tcW w:type="dxa" w:w="1814"/>
          </w:tcPr>
          <w:p>
            <w:r>
              <w:rPr>
                <w:rFonts w:ascii="Times New Roman" w:hAnsi="Times New Roman"/>
                <w:sz w:val="20"/>
              </w:rPr>
              <w:t>1</w:t>
            </w:r>
          </w:p>
        </w:tc>
        <w:tc>
          <w:tcPr>
            <w:tcW w:type="dxa" w:w="1814"/>
          </w:tcPr>
          <w:p>
            <w:r>
              <w:rPr>
                <w:rFonts w:ascii="Times New Roman" w:hAnsi="Times New Roman"/>
                <w:sz w:val="20"/>
              </w:rPr>
              <w:t>3.800</w:t>
            </w:r>
          </w:p>
        </w:tc>
        <w:tc>
          <w:tcPr>
            <w:tcW w:type="dxa" w:w="1814"/>
          </w:tcPr>
          <w:p>
            <w:r>
              <w:rPr>
                <w:rFonts w:ascii="Times New Roman" w:hAnsi="Times New Roman"/>
                <w:sz w:val="20"/>
              </w:rPr>
              <w:t>3.800</w:t>
            </w:r>
          </w:p>
        </w:tc>
      </w:tr>
      <w:tr>
        <w:tc>
          <w:tcPr>
            <w:tcW w:type="dxa" w:w="1814"/>
          </w:tcPr>
          <w:p>
            <w:r>
              <w:rPr>
                <w:rFonts w:ascii="Times New Roman" w:hAnsi="Times New Roman"/>
                <w:b/>
                <w:sz w:val="20"/>
              </w:rPr>
              <w:t>Teilsumme C</w:t>
            </w:r>
          </w:p>
        </w:tc>
        <w:tc>
          <w:tcPr>
            <w:tcW w:type="dxa" w:w="1814"/>
          </w:tcPr>
          <w:p/>
        </w:tc>
        <w:tc>
          <w:tcPr>
            <w:tcW w:type="dxa" w:w="1814"/>
          </w:tcPr>
          <w:p/>
        </w:tc>
        <w:tc>
          <w:tcPr>
            <w:tcW w:type="dxa" w:w="1814"/>
          </w:tcPr>
          <w:p/>
        </w:tc>
        <w:tc>
          <w:tcPr>
            <w:tcW w:type="dxa" w:w="1814"/>
          </w:tcPr>
          <w:p>
            <w:r>
              <w:rPr>
                <w:rFonts w:ascii="Times New Roman" w:hAnsi="Times New Roman"/>
                <w:b/>
                <w:sz w:val="20"/>
              </w:rPr>
              <w:t>5.200</w:t>
            </w:r>
          </w:p>
        </w:tc>
      </w:tr>
    </w:tbl>
    <w:p>
      <w:pPr>
        <w:pStyle w:val="Heading3"/>
      </w:pPr>
      <w:r>
        <w:rPr>
          <w:rFonts w:ascii="Times New Roman" w:hAnsi="Times New Roman"/>
        </w:rPr>
        <w:t>Pos. D – Baunebenkosten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Teilleistung</w:t>
            </w:r>
          </w:p>
        </w:tc>
        <w:tc>
          <w:tcPr>
            <w:tcW w:type="dxa" w:w="1814"/>
          </w:tcPr>
          <w:p>
            <w:r>
              <w:rPr>
                <w:rFonts w:ascii="Times New Roman" w:hAnsi="Times New Roman"/>
                <w:b/>
                <w:sz w:val="20"/>
              </w:rPr>
              <w:t>Einheit</w:t>
            </w:r>
          </w:p>
        </w:tc>
        <w:tc>
          <w:tcPr>
            <w:tcW w:type="dxa" w:w="1814"/>
          </w:tcPr>
          <w:p>
            <w:r>
              <w:rPr>
                <w:rFonts w:ascii="Times New Roman" w:hAnsi="Times New Roman"/>
                <w:b/>
                <w:sz w:val="20"/>
              </w:rPr>
              <w:t>Menge</w:t>
            </w:r>
          </w:p>
        </w:tc>
        <w:tc>
          <w:tcPr>
            <w:tcW w:type="dxa" w:w="1814"/>
          </w:tcPr>
          <w:p>
            <w:r>
              <w:rPr>
                <w:rFonts w:ascii="Times New Roman" w:hAnsi="Times New Roman"/>
                <w:b/>
                <w:sz w:val="20"/>
              </w:rPr>
              <w:t>EP (EUR)</w:t>
            </w:r>
          </w:p>
        </w:tc>
        <w:tc>
          <w:tcPr>
            <w:tcW w:type="dxa" w:w="1814"/>
          </w:tcPr>
          <w:p>
            <w:r>
              <w:rPr>
                <w:rFonts w:ascii="Times New Roman" w:hAnsi="Times New Roman"/>
                <w:b/>
                <w:sz w:val="20"/>
              </w:rPr>
              <w:t>GP (EUR)</w:t>
            </w:r>
          </w:p>
        </w:tc>
      </w:tr>
      <w:tr>
        <w:tc>
          <w:tcPr>
            <w:tcW w:type="dxa" w:w="1814"/>
          </w:tcPr>
          <w:p>
            <w:r>
              <w:rPr>
                <w:rFonts w:ascii="Times New Roman" w:hAnsi="Times New Roman"/>
                <w:sz w:val="20"/>
              </w:rPr>
              <w:t>Gerüst und Hubarbeitsbühne</w:t>
            </w:r>
          </w:p>
        </w:tc>
        <w:tc>
          <w:tcPr>
            <w:tcW w:type="dxa" w:w="1814"/>
          </w:tcPr>
          <w:p>
            <w:r>
              <w:rPr>
                <w:rFonts w:ascii="Times New Roman" w:hAnsi="Times New Roman"/>
                <w:sz w:val="20"/>
              </w:rPr>
              <w:t>Woche</w:t>
            </w:r>
          </w:p>
        </w:tc>
        <w:tc>
          <w:tcPr>
            <w:tcW w:type="dxa" w:w="1814"/>
          </w:tcPr>
          <w:p>
            <w:r>
              <w:rPr>
                <w:rFonts w:ascii="Times New Roman" w:hAnsi="Times New Roman"/>
                <w:sz w:val="20"/>
              </w:rPr>
              <w:t>6</w:t>
            </w:r>
          </w:p>
        </w:tc>
        <w:tc>
          <w:tcPr>
            <w:tcW w:type="dxa" w:w="1814"/>
          </w:tcPr>
          <w:p>
            <w:r>
              <w:rPr>
                <w:rFonts w:ascii="Times New Roman" w:hAnsi="Times New Roman"/>
                <w:sz w:val="20"/>
              </w:rPr>
              <w:t>680</w:t>
            </w:r>
          </w:p>
        </w:tc>
        <w:tc>
          <w:tcPr>
            <w:tcW w:type="dxa" w:w="1814"/>
          </w:tcPr>
          <w:p>
            <w:r>
              <w:rPr>
                <w:rFonts w:ascii="Times New Roman" w:hAnsi="Times New Roman"/>
                <w:sz w:val="20"/>
              </w:rPr>
              <w:t>4.080</w:t>
            </w:r>
          </w:p>
        </w:tc>
      </w:tr>
      <w:tr>
        <w:tc>
          <w:tcPr>
            <w:tcW w:type="dxa" w:w="1814"/>
          </w:tcPr>
          <w:p>
            <w:r>
              <w:rPr>
                <w:rFonts w:ascii="Times New Roman" w:hAnsi="Times New Roman"/>
                <w:sz w:val="20"/>
              </w:rPr>
              <w:t>Maler (Wände/Decken)</w:t>
            </w:r>
          </w:p>
        </w:tc>
        <w:tc>
          <w:tcPr>
            <w:tcW w:type="dxa" w:w="1814"/>
          </w:tcPr>
          <w:p>
            <w:r>
              <w:rPr>
                <w:rFonts w:ascii="Times New Roman" w:hAnsi="Times New Roman"/>
                <w:sz w:val="20"/>
              </w:rPr>
              <w:t>m²</w:t>
            </w:r>
          </w:p>
        </w:tc>
        <w:tc>
          <w:tcPr>
            <w:tcW w:type="dxa" w:w="1814"/>
          </w:tcPr>
          <w:p>
            <w:r>
              <w:rPr>
                <w:rFonts w:ascii="Times New Roman" w:hAnsi="Times New Roman"/>
                <w:sz w:val="20"/>
              </w:rPr>
              <w:t>320</w:t>
            </w:r>
          </w:p>
        </w:tc>
        <w:tc>
          <w:tcPr>
            <w:tcW w:type="dxa" w:w="1814"/>
          </w:tcPr>
          <w:p>
            <w:r>
              <w:rPr>
                <w:rFonts w:ascii="Times New Roman" w:hAnsi="Times New Roman"/>
                <w:sz w:val="20"/>
              </w:rPr>
              <w:t>20</w:t>
            </w:r>
          </w:p>
        </w:tc>
        <w:tc>
          <w:tcPr>
            <w:tcW w:type="dxa" w:w="1814"/>
          </w:tcPr>
          <w:p>
            <w:r>
              <w:rPr>
                <w:rFonts w:ascii="Times New Roman" w:hAnsi="Times New Roman"/>
                <w:sz w:val="20"/>
              </w:rPr>
              <w:t>6.400</w:t>
            </w:r>
          </w:p>
        </w:tc>
      </w:tr>
      <w:tr>
        <w:tc>
          <w:tcPr>
            <w:tcW w:type="dxa" w:w="1814"/>
          </w:tcPr>
          <w:p>
            <w:r>
              <w:rPr>
                <w:rFonts w:ascii="Times New Roman" w:hAnsi="Times New Roman"/>
                <w:sz w:val="20"/>
              </w:rPr>
              <w:t>Baustelleneinrichtung + Entsorgung</w:t>
            </w:r>
          </w:p>
        </w:tc>
        <w:tc>
          <w:tcPr>
            <w:tcW w:type="dxa" w:w="1814"/>
          </w:tcPr>
          <w:p>
            <w:r>
              <w:rPr>
                <w:rFonts w:ascii="Times New Roman" w:hAnsi="Times New Roman"/>
                <w:sz w:val="20"/>
              </w:rPr>
              <w:t>pauschal</w:t>
            </w:r>
          </w:p>
        </w:tc>
        <w:tc>
          <w:tcPr>
            <w:tcW w:type="dxa" w:w="1814"/>
          </w:tcPr>
          <w:p>
            <w:r>
              <w:rPr>
                <w:rFonts w:ascii="Times New Roman" w:hAnsi="Times New Roman"/>
                <w:sz w:val="20"/>
              </w:rPr>
              <w:t>1</w:t>
            </w:r>
          </w:p>
        </w:tc>
        <w:tc>
          <w:tcPr>
            <w:tcW w:type="dxa" w:w="1814"/>
          </w:tcPr>
          <w:p>
            <w:r>
              <w:rPr>
                <w:rFonts w:ascii="Times New Roman" w:hAnsi="Times New Roman"/>
                <w:sz w:val="20"/>
              </w:rPr>
              <w:t>2.100</w:t>
            </w:r>
          </w:p>
        </w:tc>
        <w:tc>
          <w:tcPr>
            <w:tcW w:type="dxa" w:w="1814"/>
          </w:tcPr>
          <w:p>
            <w:r>
              <w:rPr>
                <w:rFonts w:ascii="Times New Roman" w:hAnsi="Times New Roman"/>
                <w:sz w:val="20"/>
              </w:rPr>
              <w:t>2.100</w:t>
            </w:r>
          </w:p>
        </w:tc>
      </w:tr>
      <w:tr>
        <w:tc>
          <w:tcPr>
            <w:tcW w:type="dxa" w:w="1814"/>
          </w:tcPr>
          <w:p>
            <w:r>
              <w:rPr>
                <w:rFonts w:ascii="Times New Roman" w:hAnsi="Times New Roman"/>
                <w:sz w:val="20"/>
              </w:rPr>
              <w:t>Projektleitung / Regie (4 %)</w:t>
            </w:r>
          </w:p>
        </w:tc>
        <w:tc>
          <w:tcPr>
            <w:tcW w:type="dxa" w:w="1814"/>
          </w:tcPr>
          <w:p>
            <w:r>
              <w:rPr>
                <w:rFonts w:ascii="Times New Roman" w:hAnsi="Times New Roman"/>
                <w:sz w:val="20"/>
              </w:rPr>
              <w:t>%</w:t>
            </w:r>
          </w:p>
        </w:tc>
        <w:tc>
          <w:tcPr>
            <w:tcW w:type="dxa" w:w="1814"/>
          </w:tcPr>
          <w:p/>
        </w:tc>
        <w:tc>
          <w:tcPr>
            <w:tcW w:type="dxa" w:w="1814"/>
          </w:tcPr>
          <w:p/>
        </w:tc>
        <w:tc>
          <w:tcPr>
            <w:tcW w:type="dxa" w:w="1814"/>
          </w:tcPr>
          <w:p>
            <w:r>
              <w:rPr>
                <w:rFonts w:ascii="Times New Roman" w:hAnsi="Times New Roman"/>
                <w:sz w:val="20"/>
              </w:rPr>
              <w:t>2.232</w:t>
            </w:r>
          </w:p>
        </w:tc>
      </w:tr>
      <w:tr>
        <w:tc>
          <w:tcPr>
            <w:tcW w:type="dxa" w:w="1814"/>
          </w:tcPr>
          <w:p>
            <w:r>
              <w:rPr>
                <w:rFonts w:ascii="Times New Roman" w:hAnsi="Times New Roman"/>
                <w:b/>
                <w:sz w:val="20"/>
              </w:rPr>
              <w:t>Teilsumme D</w:t>
            </w:r>
          </w:p>
        </w:tc>
        <w:tc>
          <w:tcPr>
            <w:tcW w:type="dxa" w:w="1814"/>
          </w:tcPr>
          <w:p/>
        </w:tc>
        <w:tc>
          <w:tcPr>
            <w:tcW w:type="dxa" w:w="1814"/>
          </w:tcPr>
          <w:p/>
        </w:tc>
        <w:tc>
          <w:tcPr>
            <w:tcW w:type="dxa" w:w="1814"/>
          </w:tcPr>
          <w:p/>
        </w:tc>
        <w:tc>
          <w:tcPr>
            <w:tcW w:type="dxa" w:w="1814"/>
          </w:tcPr>
          <w:p>
            <w:r>
              <w:rPr>
                <w:rFonts w:ascii="Times New Roman" w:hAnsi="Times New Roman"/>
                <w:b/>
                <w:sz w:val="20"/>
              </w:rPr>
              <w:t>14.812</w:t>
            </w:r>
          </w:p>
        </w:tc>
      </w:tr>
    </w:tbl>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Nettosumme gesamt</w:t>
            </w:r>
          </w:p>
        </w:tc>
        <w:tc>
          <w:tcPr>
            <w:tcW w:type="dxa" w:w="3024"/>
          </w:tcPr>
          <w:p/>
        </w:tc>
        <w:tc>
          <w:tcPr>
            <w:tcW w:type="dxa" w:w="3024"/>
          </w:tcPr>
          <w:p>
            <w:r>
              <w:rPr>
                <w:rFonts w:ascii="Times New Roman" w:hAnsi="Times New Roman"/>
                <w:b/>
                <w:sz w:val="20"/>
              </w:rPr>
              <w:t>38.422</w:t>
            </w:r>
          </w:p>
        </w:tc>
      </w:tr>
      <w:tr>
        <w:tc>
          <w:tcPr>
            <w:tcW w:type="dxa" w:w="3024"/>
          </w:tcPr>
          <w:p>
            <w:r>
              <w:rPr>
                <w:rFonts w:ascii="Times New Roman" w:hAnsi="Times New Roman"/>
                <w:sz w:val="20"/>
              </w:rPr>
              <w:t>zzgl. 19 % MwSt.</w:t>
            </w:r>
          </w:p>
        </w:tc>
        <w:tc>
          <w:tcPr>
            <w:tcW w:type="dxa" w:w="3024"/>
          </w:tcPr>
          <w:p/>
        </w:tc>
        <w:tc>
          <w:tcPr>
            <w:tcW w:type="dxa" w:w="3024"/>
          </w:tcPr>
          <w:p>
            <w:r>
              <w:rPr>
                <w:rFonts w:ascii="Times New Roman" w:hAnsi="Times New Roman"/>
                <w:sz w:val="20"/>
              </w:rPr>
              <w:t>7.300</w:t>
            </w:r>
          </w:p>
        </w:tc>
      </w:tr>
      <w:tr>
        <w:tc>
          <w:tcPr>
            <w:tcW w:type="dxa" w:w="3024"/>
          </w:tcPr>
          <w:p>
            <w:r>
              <w:rPr>
                <w:rFonts w:ascii="Times New Roman" w:hAnsi="Times New Roman"/>
                <w:b/>
                <w:sz w:val="20"/>
              </w:rPr>
              <w:t>Bruttosumme</w:t>
            </w:r>
          </w:p>
        </w:tc>
        <w:tc>
          <w:tcPr>
            <w:tcW w:type="dxa" w:w="3024"/>
          </w:tcPr>
          <w:p/>
        </w:tc>
        <w:tc>
          <w:tcPr>
            <w:tcW w:type="dxa" w:w="3024"/>
          </w:tcPr>
          <w:p>
            <w:r>
              <w:rPr>
                <w:rFonts w:ascii="Times New Roman" w:hAnsi="Times New Roman"/>
                <w:b/>
                <w:sz w:val="20"/>
              </w:rPr>
              <w:t>45.722</w:t>
            </w:r>
          </w:p>
        </w:tc>
      </w:tr>
    </w:tbl>
    <w:p>
      <w:pPr>
        <w:jc w:val="left"/>
      </w:pPr>
      <w:r>
        <w:rPr>
          <w:i/>
        </w:rPr>
        <w:t>Sonderkosten: Falls Behördenauflage zur vollständigen Stuckabformung aller 4 Geschosse → Aufpreis ca. 8.000 EUR netto.</w:t>
      </w:r>
    </w:p>
    <w:p/>
    <w:p>
      <w:pPr>
        <w:jc w:val="left"/>
      </w:pPr>
      <w:r>
        <w:rPr>
          <w:b/>
        </w:rPr>
        <w:t>Ausführungsdauer:</w:t>
      </w:r>
      <w:r>
        <w:t xml:space="preserve"> ca. 12 Wochen. </w:t>
      </w:r>
      <w:r>
        <w:rPr>
          <w:b/>
        </w:rPr>
        <w:t>Zahlungsplan:</w:t>
      </w:r>
      <w:r>
        <w:t xml:space="preserve"> 4 × 25 % nach Bauabschnitt.</w:t>
      </w:r>
    </w:p>
    <w:p>
      <w:pPr>
        <w:jc w:val="left"/>
      </w:pPr>
      <w:r>
        <w:rPr>
          <w:i/>
        </w:rPr>
        <w:t>Gez. Beate Huck, Dipl.-Restauratorin (FH)</w:t>
      </w:r>
    </w:p>
    <w:p>
      <w:pPr>
        <w:jc w:val="left"/>
      </w:pPr>
      <w:r>
        <w:t>Bonn, 14.03.2026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