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Sachverständigengutachten – Schimmelbildung Rolandstraße 27a, DG-Wohnung</w:t>
      </w:r>
    </w:p>
    <w:p>
      <w:pPr>
        <w:jc w:val="left"/>
      </w:pPr>
      <w:r>
        <w:rPr>
          <w:b/>
        </w:rPr>
        <w:t>Öffentlich bestellter und vereidigter Sachverständiger</w:t>
      </w:r>
    </w:p>
    <w:p>
      <w:pPr>
        <w:jc w:val="left"/>
      </w:pPr>
      <w:r>
        <w:rPr>
          <w:b/>
        </w:rPr>
        <w:t>Dipl.-Ing. Hubert Wallesch</w:t>
      </w:r>
    </w:p>
    <w:p>
      <w:pPr>
        <w:jc w:val="left"/>
      </w:pPr>
      <w:r>
        <w:t>Fachgebiet: Baukonstruktion, Feuchtigkeits- und Schäden im Bauwesen</w:t>
      </w:r>
    </w:p>
    <w:p>
      <w:pPr>
        <w:jc w:val="left"/>
      </w:pPr>
      <w:r>
        <w:t>Öff. bestellt: Architektenkammer NRW, Best.-Nr. SV 2004-NW-0881</w:t>
      </w:r>
    </w:p>
    <w:p>
      <w:pPr>
        <w:jc w:val="left"/>
      </w:pPr>
      <w:r>
        <w:t>Anschrift: Venloer Straße 188, 50823 Köln</w:t>
      </w:r>
    </w:p>
    <w:p>
      <w:pPr>
        <w:jc w:val="left"/>
      </w:pPr>
      <w:r>
        <w:t xml:space="preserve">Tel. 0221 / 50 44 92  </w:t>
      </w:r>
      <w:r>
        <w:rPr>
          <w:b/>
        </w:rPr>
        <w:t>E-Mail:</w:t>
      </w:r>
      <w:r>
        <w:t xml:space="preserve"> wallesch-sv@konstrukt-koeln.de</w:t>
      </w:r>
    </w:p>
    <w:p/>
    <w:p>
      <w:pPr>
        <w:jc w:val="left"/>
      </w:pPr>
      <w:r>
        <w:rPr>
          <w:b/>
        </w:rPr>
        <w:t>Gutachten-Nr.:</w:t>
      </w:r>
      <w:r>
        <w:t xml:space="preserve"> GW-2026-048</w:t>
      </w:r>
    </w:p>
    <w:p>
      <w:pPr>
        <w:jc w:val="left"/>
      </w:pPr>
      <w:r>
        <w:rPr>
          <w:b/>
        </w:rPr>
        <w:t>Auftraggeber:</w:t>
      </w:r>
      <w:r>
        <w:t xml:space="preserve"> WG Albrecht / van Drosten / Sonnenfeld (Mieter), Rolandstraße 27a, 50677 Köln</w:t>
      </w:r>
    </w:p>
    <w:p>
      <w:pPr>
        <w:jc w:val="left"/>
      </w:pPr>
      <w:r>
        <w:rPr>
          <w:i/>
        </w:rPr>
        <w:t>(Auftrag erteilt durch Mieterverein Köln, Sachbearbeiter Wolfgang Lemke)</w:t>
      </w:r>
    </w:p>
    <w:p>
      <w:pPr>
        <w:jc w:val="left"/>
      </w:pPr>
      <w:r>
        <w:rPr>
          <w:b/>
        </w:rPr>
        <w:t>Datum des Ortstermins:</w:t>
      </w:r>
      <w:r>
        <w:t xml:space="preserve"> 18. Februar 2026</w:t>
      </w:r>
    </w:p>
    <w:p>
      <w:pPr>
        <w:jc w:val="left"/>
      </w:pPr>
      <w:r>
        <w:rPr>
          <w:b/>
        </w:rPr>
        <w:t>Datum des Gutachtens:</w:t>
      </w:r>
      <w:r>
        <w:t xml:space="preserve"> 05. März 2026</w:t>
      </w:r>
    </w:p>
    <w:p/>
    <w:p>
      <w:pPr>
        <w:pStyle w:val="Heading2"/>
      </w:pPr>
      <w:r>
        <w:rPr>
          <w:rFonts w:ascii="Times New Roman" w:hAnsi="Times New Roman"/>
        </w:rPr>
        <w:t>1. Auftrag und Fragestellung</w:t>
      </w:r>
    </w:p>
    <w:p>
      <w:pPr>
        <w:jc w:val="left"/>
      </w:pPr>
      <w:r>
        <w:t>Die Auftraggeber haben mich beauftragt zu begutachten, ob und in welchem Umfang in der Dachgeschosswohnung Rolandstraße 27a, 50677 Köln, Schimmelbildungen vorliegen, und ob diese durch bauliche Mängel oder durch nutzerbedingte Ursachen verursacht wurden.</w:t>
      </w:r>
    </w:p>
    <w:p/>
    <w:p>
      <w:pPr>
        <w:pStyle w:val="Heading2"/>
      </w:pPr>
      <w:r>
        <w:rPr>
          <w:rFonts w:ascii="Times New Roman" w:hAnsi="Times New Roman"/>
        </w:rPr>
        <w:t>2. Objekt- und Nutzungsbeschreibung</w:t>
      </w:r>
    </w:p>
    <w:p>
      <w:pPr>
        <w:jc w:val="left"/>
      </w:pPr>
      <w:r>
        <w:t>Das Gebäude Rolandstraße 27a ist ein viergeschossiger Gründerzeitaltbau (Baujahr 1903) mit Dachgeschossausbau. Die Dachgeschosswohnung (4 Zimmer, ca. 110 m²) wurde nach Angaben der Eigentümer im Jahr 2018 saniert; dabei wurden u. a. die Dachdämmung und die DG-Decke erneuert.</w:t>
      </w:r>
    </w:p>
    <w:p>
      <w:pPr>
        <w:jc w:val="left"/>
      </w:pPr>
      <w:r>
        <w:t>Die drei Mieter nutzen die Wohnung als Wohngemeinschaft (WG) seit 01.06.2018. Im Südschlafzimmer (Giebel Süd) wurde eine wandhohe Schrankwand aufgestellt, die den Giebel vollflächig abdeckt. Hinter dieser Schrankwand zeigten sich nach Angaben der Mieter ab Dezember 2025 Schimmelflecken.</w:t>
      </w:r>
    </w:p>
    <w:p/>
    <w:p>
      <w:pPr>
        <w:pStyle w:val="Heading2"/>
      </w:pPr>
      <w:r>
        <w:rPr>
          <w:rFonts w:ascii="Times New Roman" w:hAnsi="Times New Roman"/>
        </w:rPr>
        <w:t>3. Befunderhebung (Ortstermin 18.02.2026)</w:t>
      </w:r>
    </w:p>
    <w:p>
      <w:pPr>
        <w:pStyle w:val="Heading3"/>
      </w:pPr>
      <w:r>
        <w:rPr>
          <w:rFonts w:ascii="Times New Roman" w:hAnsi="Times New Roman"/>
        </w:rPr>
        <w:t>3.1 Sichtbefund</w:t>
      </w:r>
    </w:p>
    <w:p>
      <w:pPr>
        <w:jc w:val="left"/>
      </w:pPr>
      <w:r>
        <w:t xml:space="preserve">Nach Entfernen eines Schrankfeldes (ca. 1,20 m Breite) im südlichen Schlafzimmer, Giebel, wurden auf einer Fläche von ca. </w:t>
      </w:r>
      <w:r>
        <w:rPr>
          <w:b/>
        </w:rPr>
        <w:t>2,4 m × 1,8 m = 4,32 m²</w:t>
      </w:r>
      <w:r>
        <w:t xml:space="preserve"> Schimmelflecken (grün-schwarz, Aspergillus/Penicillium-Verdacht, keine Schwarzschimmel-Optik) festgestellt. Der Schimmelbefall zeigt sich konzentriert auf:</w:t>
      </w:r>
    </w:p>
    <w:p>
      <w:pPr>
        <w:pStyle w:val="ListBullet"/>
      </w:pPr>
      <w:r>
        <w:t>Wandputz unmittelbar an der Giebelmauer (Süd-Außenwand)</w:t>
      </w:r>
    </w:p>
    <w:p>
      <w:pPr>
        <w:pStyle w:val="ListBullet"/>
      </w:pPr>
      <w:r>
        <w:t>Holzunterkonstruktion der Schrankrückwand (partiell)</w:t>
      </w:r>
    </w:p>
    <w:p>
      <w:pPr>
        <w:pStyle w:val="ListBullet"/>
      </w:pPr>
      <w:r>
        <w:t>Hinterfüllung der Dämmebene Dachdecke/Attika-Übergang</w:t>
      </w:r>
    </w:p>
    <w:p>
      <w:pPr>
        <w:pStyle w:val="Heading3"/>
      </w:pPr>
      <w:r>
        <w:rPr>
          <w:rFonts w:ascii="Times New Roman" w:hAnsi="Times New Roman"/>
        </w:rPr>
        <w:t>3.2 Feuchtigkeitsmessungen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Messpunkt</w:t>
            </w:r>
          </w:p>
        </w:tc>
        <w:tc>
          <w:tcPr>
            <w:tcW w:type="dxa" w:w="3024"/>
          </w:tcPr>
          <w:p>
            <w:r>
              <w:rPr>
                <w:rFonts w:ascii="Times New Roman" w:hAnsi="Times New Roman"/>
                <w:b/>
                <w:sz w:val="20"/>
              </w:rPr>
              <w:t>Messmethode</w:t>
            </w:r>
          </w:p>
        </w:tc>
        <w:tc>
          <w:tcPr>
            <w:tcW w:type="dxa" w:w="3024"/>
          </w:tcPr>
          <w:p>
            <w:r>
              <w:rPr>
                <w:rFonts w:ascii="Times New Roman" w:hAnsi="Times New Roman"/>
                <w:b/>
                <w:sz w:val="20"/>
              </w:rPr>
              <w:t>Feuchtegehalt</w:t>
            </w:r>
          </w:p>
        </w:tc>
      </w:tr>
      <w:tr>
        <w:tc>
          <w:tcPr>
            <w:tcW w:type="dxa" w:w="3024"/>
          </w:tcPr>
          <w:p>
            <w:r>
              <w:rPr>
                <w:rFonts w:ascii="Times New Roman" w:hAnsi="Times New Roman"/>
                <w:sz w:val="20"/>
              </w:rPr>
              <w:t>Giebelmauer (Außenwand)</w:t>
            </w:r>
          </w:p>
        </w:tc>
        <w:tc>
          <w:tcPr>
            <w:tcW w:type="dxa" w:w="3024"/>
          </w:tcPr>
          <w:p>
            <w:r>
              <w:rPr>
                <w:rFonts w:ascii="Times New Roman" w:hAnsi="Times New Roman"/>
                <w:sz w:val="20"/>
              </w:rPr>
              <w:t>CM-Verfahren</w:t>
            </w:r>
          </w:p>
        </w:tc>
        <w:tc>
          <w:tcPr>
            <w:tcW w:type="dxa" w:w="3024"/>
          </w:tcPr>
          <w:p>
            <w:r>
              <w:rPr>
                <w:rFonts w:ascii="Times New Roman" w:hAnsi="Times New Roman"/>
                <w:sz w:val="20"/>
              </w:rPr>
              <w:t>6,2 CM-% (Ziegelmauerwerk: Grenzwert &lt; 3,0 %)</w:t>
            </w:r>
          </w:p>
        </w:tc>
      </w:tr>
      <w:tr>
        <w:tc>
          <w:tcPr>
            <w:tcW w:type="dxa" w:w="3024"/>
          </w:tcPr>
          <w:p>
            <w:r>
              <w:rPr>
                <w:rFonts w:ascii="Times New Roman" w:hAnsi="Times New Roman"/>
                <w:sz w:val="20"/>
              </w:rPr>
              <w:t>Wandputz, Schimmelzone</w:t>
            </w:r>
          </w:p>
        </w:tc>
        <w:tc>
          <w:tcPr>
            <w:tcW w:type="dxa" w:w="3024"/>
          </w:tcPr>
          <w:p>
            <w:r>
              <w:rPr>
                <w:rFonts w:ascii="Times New Roman" w:hAnsi="Times New Roman"/>
                <w:sz w:val="20"/>
              </w:rPr>
              <w:t>kapazitiv</w:t>
            </w:r>
          </w:p>
        </w:tc>
        <w:tc>
          <w:tcPr>
            <w:tcW w:type="dxa" w:w="3024"/>
          </w:tcPr>
          <w:p>
            <w:r>
              <w:rPr>
                <w:rFonts w:ascii="Times New Roman" w:hAnsi="Times New Roman"/>
                <w:sz w:val="20"/>
              </w:rPr>
              <w:t>94 % r. F.</w:t>
            </w:r>
          </w:p>
        </w:tc>
      </w:tr>
      <w:tr>
        <w:tc>
          <w:tcPr>
            <w:tcW w:type="dxa" w:w="3024"/>
          </w:tcPr>
          <w:p>
            <w:r>
              <w:rPr>
                <w:rFonts w:ascii="Times New Roman" w:hAnsi="Times New Roman"/>
                <w:sz w:val="20"/>
              </w:rPr>
              <w:t>Wandputz, angrenzende Zone</w:t>
            </w:r>
          </w:p>
        </w:tc>
        <w:tc>
          <w:tcPr>
            <w:tcW w:type="dxa" w:w="3024"/>
          </w:tcPr>
          <w:p>
            <w:r>
              <w:rPr>
                <w:rFonts w:ascii="Times New Roman" w:hAnsi="Times New Roman"/>
                <w:sz w:val="20"/>
              </w:rPr>
              <w:t>kapazitiv</w:t>
            </w:r>
          </w:p>
        </w:tc>
        <w:tc>
          <w:tcPr>
            <w:tcW w:type="dxa" w:w="3024"/>
          </w:tcPr>
          <w:p>
            <w:r>
              <w:rPr>
                <w:rFonts w:ascii="Times New Roman" w:hAnsi="Times New Roman"/>
                <w:sz w:val="20"/>
              </w:rPr>
              <w:t>81 % r. F.</w:t>
            </w:r>
          </w:p>
        </w:tc>
      </w:tr>
      <w:tr>
        <w:tc>
          <w:tcPr>
            <w:tcW w:type="dxa" w:w="3024"/>
          </w:tcPr>
          <w:p>
            <w:r>
              <w:rPr>
                <w:rFonts w:ascii="Times New Roman" w:hAnsi="Times New Roman"/>
                <w:sz w:val="20"/>
              </w:rPr>
              <w:t>Deckendämmung (Kernbohre)</w:t>
            </w:r>
          </w:p>
        </w:tc>
        <w:tc>
          <w:tcPr>
            <w:tcW w:type="dxa" w:w="3024"/>
          </w:tcPr>
          <w:p>
            <w:r>
              <w:rPr>
                <w:rFonts w:ascii="Times New Roman" w:hAnsi="Times New Roman"/>
                <w:sz w:val="20"/>
              </w:rPr>
              <w:t>CM-Verfahren</w:t>
            </w:r>
          </w:p>
        </w:tc>
        <w:tc>
          <w:tcPr>
            <w:tcW w:type="dxa" w:w="3024"/>
          </w:tcPr>
          <w:p>
            <w:r>
              <w:rPr>
                <w:rFonts w:ascii="Times New Roman" w:hAnsi="Times New Roman"/>
                <w:sz w:val="20"/>
              </w:rPr>
              <w:t>4,8 CM-% (Mineralwolle, Grenzwert &lt; 2,0 %)</w:t>
            </w:r>
          </w:p>
        </w:tc>
      </w:tr>
      <w:tr>
        <w:tc>
          <w:tcPr>
            <w:tcW w:type="dxa" w:w="3024"/>
          </w:tcPr>
          <w:p>
            <w:r>
              <w:rPr>
                <w:rFonts w:ascii="Times New Roman" w:hAnsi="Times New Roman"/>
                <w:sz w:val="20"/>
              </w:rPr>
              <w:t>Raumluft (Messzeit 08:00–09:30)</w:t>
            </w:r>
          </w:p>
        </w:tc>
        <w:tc>
          <w:tcPr>
            <w:tcW w:type="dxa" w:w="3024"/>
          </w:tcPr>
          <w:p>
            <w:r>
              <w:rPr>
                <w:rFonts w:ascii="Times New Roman" w:hAnsi="Times New Roman"/>
                <w:sz w:val="20"/>
              </w:rPr>
              <w:t>Hygrometer</w:t>
            </w:r>
          </w:p>
        </w:tc>
        <w:tc>
          <w:tcPr>
            <w:tcW w:type="dxa" w:w="3024"/>
          </w:tcPr>
          <w:p>
            <w:r>
              <w:rPr>
                <w:rFonts w:ascii="Times New Roman" w:hAnsi="Times New Roman"/>
                <w:sz w:val="20"/>
              </w:rPr>
              <w:t>52 % r. F. bei 19,2 °C</w:t>
            </w:r>
          </w:p>
        </w:tc>
      </w:tr>
    </w:tbl>
    <w:p>
      <w:pPr>
        <w:jc w:val="left"/>
      </w:pPr>
      <w:r>
        <w:t>Alle Raumluft-Messwerte liegen im normalen Wohnbereich (zul. 40–65 % r. F. bei 20 °C); ein übermäßig feuchtes Raumklima durch Nutzerverhalten ist ausgeschlossen.</w:t>
      </w:r>
    </w:p>
    <w:p>
      <w:pPr>
        <w:pStyle w:val="Heading3"/>
      </w:pPr>
      <w:r>
        <w:rPr>
          <w:rFonts w:ascii="Times New Roman" w:hAnsi="Times New Roman"/>
        </w:rPr>
        <w:t>3.3 Thermografie</w:t>
      </w:r>
    </w:p>
    <w:p>
      <w:pPr>
        <w:jc w:val="left"/>
      </w:pPr>
      <w:r>
        <w:t>Thermografische Aufnahme (FLIR E76, 09:15 Uhr, Außentemperatur +4 °C) zeigt an der Giebelmauer Süd deutliche Kältebrücken im Bereich des Attika-Übergangs (Temperaturdifferenz bis −4,8 K gegenüber benachbarter gedämmter Wand). An diesem Übergangsbereich ist die Dampfsperre unterbrochen.</w:t>
      </w:r>
    </w:p>
    <w:p/>
    <w:p>
      <w:pPr>
        <w:pStyle w:val="Heading2"/>
      </w:pPr>
      <w:r>
        <w:rPr>
          <w:rFonts w:ascii="Times New Roman" w:hAnsi="Times New Roman"/>
        </w:rPr>
        <w:t>4. Schadensursache</w:t>
      </w:r>
    </w:p>
    <w:p>
      <w:pPr>
        <w:jc w:val="left"/>
      </w:pPr>
      <w:r>
        <w:t>Die Untersuchung ergibt mit hoher Sicherheit:</w:t>
      </w:r>
    </w:p>
    <w:p>
      <w:pPr>
        <w:jc w:val="left"/>
      </w:pPr>
      <w:r>
        <w:rPr>
          <w:b/>
        </w:rPr>
        <w:t>Die Schimmelbildung ist auf eine bauliche Ausführungsursache zurückzuführen, nicht auf Nutzerverhalten.</w:t>
      </w:r>
    </w:p>
    <w:p>
      <w:pPr>
        <w:jc w:val="left"/>
      </w:pPr>
      <w:r>
        <w:t>Im Einzelnen:</w:t>
      </w:r>
    </w:p>
    <w:p>
      <w:pPr>
        <w:pStyle w:val="ListNumber"/>
      </w:pPr>
      <w:r>
        <w:rPr>
          <w:b/>
        </w:rPr>
        <w:t>Fehlende / fehlerhafte Dampfsperre am Attika-Übergang:</w:t>
      </w:r>
      <w:r>
        <w:t xml:space="preserve"> Bei der Dachrenovierung 2018 wurde die Dampfsperre (PE-Folie) im Bereich Attika/Giebel-Übergang nicht fachgerecht eingebunden. Die Messung zeigt eine Dampfdruckumkehr im Winter: Warme feuchte Raumluft diffundiert in die Außenwand, kondensiert an der kalten Giebelmauer. Dies führt zur Durchfeuchtung von innen.</w:t>
      </w:r>
    </w:p>
    <w:p>
      <w:pPr>
        <w:pStyle w:val="ListNumber"/>
      </w:pPr>
      <w:r>
        <w:rPr>
          <w:b/>
        </w:rPr>
        <w:t>Kältebrücke Attika:</w:t>
      </w:r>
      <w:r>
        <w:t xml:space="preserve"> Der Attikaanschluss wurde ohne zusätzliche thermische Trennung ausgeführt. Gemäß EnEV 2016 (gültig 2018) und DIN 4108-2 hätte die Kältebrücke durch thermische Dämmung der Attika von innen vermieden werden müssen. Der fRsi-Wert (Temperaturfaktor) unterschreitet den Grenzwert 0,70 deutlich (Messung: 0,51).</w:t>
      </w:r>
    </w:p>
    <w:p>
      <w:pPr>
        <w:pStyle w:val="ListNumber"/>
      </w:pPr>
      <w:r>
        <w:rPr>
          <w:b/>
        </w:rPr>
        <w:t>Ausschluss Nutzermangel:</w:t>
      </w:r>
      <w:r>
        <w:t xml:space="preserve"> Der Luftaustausch im Schlafzimmer wurde überprüft (CO₂-Messung, Wohnungsprotokoll). Die Messwerte liegen im normalen Bereich. Die Schrankaufstellung ist typisch für WG-Nutzung und nicht Ursache der Durchfeuchtung; sie hat die Entdeckung lediglich verzögert.</w:t>
      </w:r>
    </w:p>
    <w:p/>
    <w:p>
      <w:pPr>
        <w:pStyle w:val="Heading2"/>
      </w:pPr>
      <w:r>
        <w:rPr>
          <w:rFonts w:ascii="Times New Roman" w:hAnsi="Times New Roman"/>
        </w:rPr>
        <w:t>5. Schadensumfang und Sanierungsempfehlung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Maßnahme</w:t>
            </w:r>
          </w:p>
        </w:tc>
        <w:tc>
          <w:tcPr>
            <w:tcW w:type="dxa" w:w="4536"/>
          </w:tcPr>
          <w:p>
            <w:r>
              <w:rPr>
                <w:rFonts w:ascii="Times New Roman" w:hAnsi="Times New Roman"/>
                <w:b/>
                <w:sz w:val="20"/>
              </w:rPr>
              <w:t>Priorität</w:t>
            </w:r>
          </w:p>
        </w:tc>
      </w:tr>
      <w:tr>
        <w:tc>
          <w:tcPr>
            <w:tcW w:type="dxa" w:w="4536"/>
          </w:tcPr>
          <w:p>
            <w:r>
              <w:rPr>
                <w:rFonts w:ascii="Times New Roman" w:hAnsi="Times New Roman"/>
                <w:sz w:val="20"/>
              </w:rPr>
              <w:t>Schimmelbefall beseitigen (Fachunternehmen, EN 15221)</w:t>
            </w:r>
          </w:p>
        </w:tc>
        <w:tc>
          <w:tcPr>
            <w:tcW w:type="dxa" w:w="4536"/>
          </w:tcPr>
          <w:p>
            <w:r>
              <w:rPr>
                <w:rFonts w:ascii="Times New Roman" w:hAnsi="Times New Roman"/>
                <w:b/>
                <w:sz w:val="20"/>
              </w:rPr>
              <w:t>sofort</w:t>
            </w:r>
          </w:p>
        </w:tc>
      </w:tr>
      <w:tr>
        <w:tc>
          <w:tcPr>
            <w:tcW w:type="dxa" w:w="4536"/>
          </w:tcPr>
          <w:p>
            <w:r>
              <w:rPr>
                <w:rFonts w:ascii="Times New Roman" w:hAnsi="Times New Roman"/>
                <w:sz w:val="20"/>
              </w:rPr>
              <w:t>Dampfsperre Attika-Giebel fachgerecht anschließen</w:t>
            </w:r>
          </w:p>
        </w:tc>
        <w:tc>
          <w:tcPr>
            <w:tcW w:type="dxa" w:w="4536"/>
          </w:tcPr>
          <w:p>
            <w:r>
              <w:rPr>
                <w:rFonts w:ascii="Times New Roman" w:hAnsi="Times New Roman"/>
                <w:b/>
                <w:sz w:val="20"/>
              </w:rPr>
              <w:t>dringend</w:t>
            </w:r>
          </w:p>
        </w:tc>
      </w:tr>
      <w:tr>
        <w:tc>
          <w:tcPr>
            <w:tcW w:type="dxa" w:w="4536"/>
          </w:tcPr>
          <w:p>
            <w:r>
              <w:rPr>
                <w:rFonts w:ascii="Times New Roman" w:hAnsi="Times New Roman"/>
                <w:sz w:val="20"/>
              </w:rPr>
              <w:t>Thermische Dämmung Attika innen (mind. 4 cm PIR)</w:t>
            </w:r>
          </w:p>
        </w:tc>
        <w:tc>
          <w:tcPr>
            <w:tcW w:type="dxa" w:w="4536"/>
          </w:tcPr>
          <w:p>
            <w:r>
              <w:rPr>
                <w:rFonts w:ascii="Times New Roman" w:hAnsi="Times New Roman"/>
                <w:b/>
                <w:sz w:val="20"/>
              </w:rPr>
              <w:t>dringend</w:t>
            </w:r>
          </w:p>
        </w:tc>
      </w:tr>
      <w:tr>
        <w:tc>
          <w:tcPr>
            <w:tcW w:type="dxa" w:w="4536"/>
          </w:tcPr>
          <w:p>
            <w:r>
              <w:rPr>
                <w:rFonts w:ascii="Times New Roman" w:hAnsi="Times New Roman"/>
                <w:sz w:val="20"/>
              </w:rPr>
              <w:t>Rückbau und Neuaufbau Wandputz Schadzone</w:t>
            </w:r>
          </w:p>
        </w:tc>
        <w:tc>
          <w:tcPr>
            <w:tcW w:type="dxa" w:w="4536"/>
          </w:tcPr>
          <w:p>
            <w:r>
              <w:rPr>
                <w:rFonts w:ascii="Times New Roman" w:hAnsi="Times New Roman"/>
                <w:sz w:val="20"/>
              </w:rPr>
              <w:t>nach Trocknung</w:t>
            </w:r>
          </w:p>
        </w:tc>
      </w:tr>
      <w:tr>
        <w:tc>
          <w:tcPr>
            <w:tcW w:type="dxa" w:w="4536"/>
          </w:tcPr>
          <w:p>
            <w:r>
              <w:rPr>
                <w:rFonts w:ascii="Times New Roman" w:hAnsi="Times New Roman"/>
                <w:sz w:val="20"/>
              </w:rPr>
              <w:t>Kontrolle angrenzender Deckenbereiche</w:t>
            </w:r>
          </w:p>
        </w:tc>
        <w:tc>
          <w:tcPr>
            <w:tcW w:type="dxa" w:w="4536"/>
          </w:tcPr>
          <w:p>
            <w:r>
              <w:rPr>
                <w:rFonts w:ascii="Times New Roman" w:hAnsi="Times New Roman"/>
                <w:sz w:val="20"/>
              </w:rPr>
              <w:t>empfohlen</w:t>
            </w:r>
          </w:p>
        </w:tc>
      </w:tr>
    </w:tbl>
    <w:p>
      <w:pPr>
        <w:jc w:val="left"/>
      </w:pPr>
      <w:r>
        <w:t xml:space="preserve">Geschätzte Sanierungskosten: </w:t>
      </w:r>
      <w:r>
        <w:rPr>
          <w:b/>
        </w:rPr>
        <w:t>12.000–18.000 EUR</w:t>
      </w:r>
      <w:r>
        <w:t xml:space="preserve"> (brutto, je nach Ausführungsumfang).</w:t>
      </w:r>
    </w:p>
    <w:p/>
    <w:p>
      <w:pPr>
        <w:pStyle w:val="Heading2"/>
      </w:pPr>
      <w:r>
        <w:rPr>
          <w:rFonts w:ascii="Times New Roman" w:hAnsi="Times New Roman"/>
        </w:rPr>
        <w:t>6. Minderungsrelevanz</w:t>
      </w:r>
    </w:p>
    <w:p>
      <w:pPr>
        <w:jc w:val="left"/>
      </w:pPr>
      <w:r>
        <w:t xml:space="preserve">Der festgestellte Mangel (Schimmelbefall ca. 4,32 m², baulich bedingt) beeinträchtigt die Nutzung des Südschlafzimmers erheblich. Eine Mietminderung ist berechtigt. Nach sachverständiger Einschätzung und Vergleich mit der einschlägigen Rechtsprechung (vgl. BGH, Urt. v. 17.06.2015, VIII ZR 19/14; OLG Köln, Urt. v. 28.11.2017, 22 U 14/17) erscheint eine Minderungsquote von </w:t>
      </w:r>
      <w:r>
        <w:rPr>
          <w:b/>
        </w:rPr>
        <w:t>10–15 %</w:t>
      </w:r>
      <w:r>
        <w:t xml:space="preserve"> der Bruttomiete angemessen, wenn lediglich ein Schlafzimmer beeinträchtigt ist.</w:t>
      </w:r>
    </w:p>
    <w:p/>
    <w:p>
      <w:pPr>
        <w:pStyle w:val="Heading2"/>
      </w:pPr>
      <w:r>
        <w:rPr>
          <w:rFonts w:ascii="Times New Roman" w:hAnsi="Times New Roman"/>
        </w:rPr>
        <w:t>7. Erklärung und Unterschrift</w:t>
      </w:r>
    </w:p>
    <w:p>
      <w:pPr>
        <w:jc w:val="left"/>
      </w:pPr>
      <w:r>
        <w:t>Ich versichere, dass ich das Gutachten unparteiisch und nach bestem Wissen und Gewissen erstellt habe.</w:t>
      </w:r>
    </w:p>
    <w:p>
      <w:pPr>
        <w:jc w:val="left"/>
      </w:pPr>
      <w:r>
        <w:t xml:space="preserve">Köln, </w:t>
      </w:r>
      <w:r>
        <w:rPr>
          <w:b/>
        </w:rPr>
        <w:t>05. März 2026</w:t>
      </w:r>
    </w:p>
    <w:p/>
    <w:p>
      <w:pPr>
        <w:jc w:val="left"/>
      </w:pPr>
      <w:r>
        <w:rPr>
          <w:b/>
        </w:rPr>
        <w:t>Dipl.-Ing. Hubert Wallesch</w:t>
      </w:r>
    </w:p>
    <w:p>
      <w:pPr>
        <w:jc w:val="left"/>
      </w:pPr>
      <w:r>
        <w:t>Öff. best. u. vereid. Sachverständiger, Architektenkammer NRW</w:t>
      </w:r>
    </w:p>
    <w:p/>
    <w:p>
      <w:pPr>
        <w:jc w:val="left"/>
      </w:pPr>
      <w:r>
        <w:rPr>
          <w:i/>
        </w:rPr>
        <w:t>Anlagen: Fotoanlage (18 Aufnahmen), Thermografiebilder (6 Aufnahmen), Messprotokolle CM-Verfahren, Klimamessblatt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