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Mahnung – Mietrückstände infolge unberechtigter Minderung</w:t>
      </w:r>
    </w:p>
    <w:p>
      <w:pPr>
        <w:jc w:val="left"/>
      </w:pPr>
      <w:r>
        <w:rPr>
          <w:b/>
        </w:rPr>
        <w:t>Kanzlei Hauck-Brüggemann Mietrecht</w:t>
      </w:r>
    </w:p>
    <w:p>
      <w:pPr>
        <w:jc w:val="left"/>
      </w:pPr>
      <w:r>
        <w:t>Berrenrather Straße 114 · 50937 Köln-Sülz</w:t>
      </w:r>
    </w:p>
    <w:p>
      <w:pPr>
        <w:jc w:val="left"/>
      </w:pPr>
      <w:r>
        <w:t xml:space="preserve">Köln, den </w:t>
      </w:r>
      <w:r>
        <w:rPr>
          <w:b/>
        </w:rPr>
        <w:t>20. März 2026</w:t>
      </w:r>
    </w:p>
    <w:p/>
    <w:p>
      <w:pPr>
        <w:jc w:val="left"/>
      </w:pPr>
      <w:r>
        <w:rPr>
          <w:b/>
        </w:rPr>
        <w:t>An:</w:t>
      </w:r>
    </w:p>
    <w:p>
      <w:pPr>
        <w:jc w:val="left"/>
      </w:pPr>
      <w:r>
        <w:t>Herrn Levi Albrecht</w:t>
      </w:r>
    </w:p>
    <w:p>
      <w:pPr>
        <w:jc w:val="left"/>
      </w:pPr>
      <w:r>
        <w:t>Frau Femke van Drosten</w:t>
      </w:r>
    </w:p>
    <w:p>
      <w:pPr>
        <w:jc w:val="left"/>
      </w:pPr>
      <w:r>
        <w:t>Frau Mathilda Sonnenfeld</w:t>
      </w:r>
    </w:p>
    <w:p>
      <w:pPr>
        <w:jc w:val="left"/>
      </w:pPr>
      <w:r>
        <w:t>Rolandstraße 27a</w:t>
      </w:r>
    </w:p>
    <w:p>
      <w:pPr>
        <w:jc w:val="left"/>
      </w:pPr>
      <w:r>
        <w:t>50677 Köln</w:t>
      </w:r>
    </w:p>
    <w:p>
      <w:pPr>
        <w:jc w:val="left"/>
      </w:pPr>
      <w:r>
        <w:rPr>
          <w:i/>
        </w:rPr>
        <w:t>(per Einschreiben mit Rückschein)</w:t>
      </w:r>
    </w:p>
    <w:p/>
    <w:p>
      <w:pPr>
        <w:jc w:val="left"/>
      </w:pPr>
      <w:r>
        <w:rPr>
          <w:b/>
        </w:rPr>
        <w:t>Betr.: Mahnung wegen Mietrückstandes – Wohnung Rolandstraße 27a, Dachgeschoss, 50677 Köln</w:t>
      </w:r>
    </w:p>
    <w:p>
      <w:pPr>
        <w:jc w:val="left"/>
      </w:pPr>
      <w:r>
        <w:t>Sehr geehrter Herr Albrecht, sehr geehrte Frau van Drosten, sehr geehrte Frau Sonnenfeld,</w:t>
      </w:r>
    </w:p>
    <w:p>
      <w:pPr>
        <w:jc w:val="left"/>
      </w:pPr>
      <w:r>
        <w:t xml:space="preserve">namens und in Vollmacht unserer Mandanten, der Eheleute Dr. Cornelia Straßburger und Dr. Boris Straßburger-Möhren, mahnen wir Sie wegen eines </w:t>
      </w:r>
      <w:r>
        <w:rPr>
          <w:b/>
        </w:rPr>
        <w:t>Mietrückstandes</w:t>
      </w:r>
      <w:r>
        <w:t xml:space="preserve"> in folgender Höhe:</w:t>
      </w:r>
    </w:p>
    <w:p/>
    <w:p>
      <w:pPr>
        <w:pStyle w:val="Heading2"/>
      </w:pPr>
      <w:r>
        <w:rPr>
          <w:rFonts w:ascii="Times New Roman" w:hAnsi="Times New Roman"/>
        </w:rPr>
        <w:t>Rückstandsberechnung</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Monat</w:t>
            </w:r>
          </w:p>
        </w:tc>
        <w:tc>
          <w:tcPr>
            <w:tcW w:type="dxa" w:w="2268"/>
          </w:tcPr>
          <w:p>
            <w:r>
              <w:rPr>
                <w:rFonts w:ascii="Times New Roman" w:hAnsi="Times New Roman"/>
                <w:b/>
                <w:sz w:val="20"/>
              </w:rPr>
              <w:t>Soll-Miete brutto</w:t>
            </w:r>
          </w:p>
        </w:tc>
        <w:tc>
          <w:tcPr>
            <w:tcW w:type="dxa" w:w="2268"/>
          </w:tcPr>
          <w:p>
            <w:r>
              <w:rPr>
                <w:rFonts w:ascii="Times New Roman" w:hAnsi="Times New Roman"/>
                <w:b/>
                <w:sz w:val="20"/>
              </w:rPr>
              <w:t>Gezahlte Miete</w:t>
            </w:r>
          </w:p>
        </w:tc>
        <w:tc>
          <w:tcPr>
            <w:tcW w:type="dxa" w:w="2268"/>
          </w:tcPr>
          <w:p>
            <w:r>
              <w:rPr>
                <w:rFonts w:ascii="Times New Roman" w:hAnsi="Times New Roman"/>
                <w:b/>
                <w:sz w:val="20"/>
              </w:rPr>
              <w:t>Rückstand</w:t>
            </w:r>
          </w:p>
        </w:tc>
      </w:tr>
      <w:tr>
        <w:tc>
          <w:tcPr>
            <w:tcW w:type="dxa" w:w="2268"/>
          </w:tcPr>
          <w:p>
            <w:r>
              <w:rPr>
                <w:rFonts w:ascii="Times New Roman" w:hAnsi="Times New Roman"/>
                <w:sz w:val="20"/>
              </w:rPr>
              <w:t>Februar 2026</w:t>
            </w:r>
          </w:p>
        </w:tc>
        <w:tc>
          <w:tcPr>
            <w:tcW w:type="dxa" w:w="2268"/>
          </w:tcPr>
          <w:p>
            <w:r>
              <w:rPr>
                <w:rFonts w:ascii="Times New Roman" w:hAnsi="Times New Roman"/>
                <w:sz w:val="20"/>
              </w:rPr>
              <w:t>2.184,00 EUR</w:t>
            </w:r>
          </w:p>
        </w:tc>
        <w:tc>
          <w:tcPr>
            <w:tcW w:type="dxa" w:w="2268"/>
          </w:tcPr>
          <w:p>
            <w:r>
              <w:rPr>
                <w:rFonts w:ascii="Times New Roman" w:hAnsi="Times New Roman"/>
                <w:sz w:val="20"/>
              </w:rPr>
              <w:t>1.528,80 EUR</w:t>
            </w:r>
          </w:p>
        </w:tc>
        <w:tc>
          <w:tcPr>
            <w:tcW w:type="dxa" w:w="2268"/>
          </w:tcPr>
          <w:p>
            <w:r>
              <w:rPr>
                <w:rFonts w:ascii="Times New Roman" w:hAnsi="Times New Roman"/>
                <w:b/>
                <w:sz w:val="20"/>
              </w:rPr>
              <w:t>655,20 EUR</w:t>
            </w:r>
          </w:p>
        </w:tc>
      </w:tr>
      <w:tr>
        <w:tc>
          <w:tcPr>
            <w:tcW w:type="dxa" w:w="2268"/>
          </w:tcPr>
          <w:p>
            <w:r>
              <w:rPr>
                <w:rFonts w:ascii="Times New Roman" w:hAnsi="Times New Roman"/>
                <w:sz w:val="20"/>
              </w:rPr>
              <w:t>März 2026</w:t>
            </w:r>
          </w:p>
        </w:tc>
        <w:tc>
          <w:tcPr>
            <w:tcW w:type="dxa" w:w="2268"/>
          </w:tcPr>
          <w:p>
            <w:r>
              <w:rPr>
                <w:rFonts w:ascii="Times New Roman" w:hAnsi="Times New Roman"/>
                <w:sz w:val="20"/>
              </w:rPr>
              <w:t>2.184,00 EUR</w:t>
            </w:r>
          </w:p>
        </w:tc>
        <w:tc>
          <w:tcPr>
            <w:tcW w:type="dxa" w:w="2268"/>
          </w:tcPr>
          <w:p>
            <w:r>
              <w:rPr>
                <w:rFonts w:ascii="Times New Roman" w:hAnsi="Times New Roman"/>
                <w:sz w:val="20"/>
              </w:rPr>
              <w:t>1.528,80 EUR</w:t>
            </w:r>
          </w:p>
        </w:tc>
        <w:tc>
          <w:tcPr>
            <w:tcW w:type="dxa" w:w="2268"/>
          </w:tcPr>
          <w:p>
            <w:r>
              <w:rPr>
                <w:rFonts w:ascii="Times New Roman" w:hAnsi="Times New Roman"/>
                <w:b/>
                <w:sz w:val="20"/>
              </w:rPr>
              <w:t>655,20 EUR</w:t>
            </w:r>
          </w:p>
        </w:tc>
      </w:tr>
      <w:tr>
        <w:tc>
          <w:tcPr>
            <w:tcW w:type="dxa" w:w="2268"/>
          </w:tcPr>
          <w:p>
            <w:r>
              <w:rPr>
                <w:rFonts w:ascii="Times New Roman" w:hAnsi="Times New Roman"/>
                <w:b/>
                <w:sz w:val="20"/>
              </w:rPr>
              <w:t>Gesamt fällig</w:t>
            </w:r>
          </w:p>
        </w:tc>
        <w:tc>
          <w:tcPr>
            <w:tcW w:type="dxa" w:w="2268"/>
          </w:tcPr>
          <w:p/>
        </w:tc>
        <w:tc>
          <w:tcPr>
            <w:tcW w:type="dxa" w:w="2268"/>
          </w:tcPr>
          <w:p/>
        </w:tc>
        <w:tc>
          <w:tcPr>
            <w:tcW w:type="dxa" w:w="2268"/>
          </w:tcPr>
          <w:p>
            <w:r>
              <w:rPr>
                <w:rFonts w:ascii="Times New Roman" w:hAnsi="Times New Roman"/>
                <w:b/>
                <w:sz w:val="20"/>
              </w:rPr>
              <w:t>1.310,40 EUR</w:t>
            </w:r>
          </w:p>
        </w:tc>
      </w:tr>
    </w:tbl>
    <w:p/>
    <w:p>
      <w:pPr>
        <w:pStyle w:val="Heading2"/>
      </w:pPr>
      <w:r>
        <w:rPr>
          <w:rFonts w:ascii="Times New Roman" w:hAnsi="Times New Roman"/>
        </w:rPr>
        <w:t>Rechtliche Bewertung</w:t>
      </w:r>
    </w:p>
    <w:p>
      <w:pPr>
        <w:jc w:val="left"/>
      </w:pPr>
      <w:r>
        <w:t>Sie haben mit Schreiben vom 28.01.2026 eine Mietminderung von 30 % ab dem 01.02.2026 erklärt und begründen dies mit einem behaupteten Schimmelbefall im südlichen Schlafzimmer. Unsere Mandanten bestreiten die Berechtigung der Minderung in Höhe von 30 % aus folgenden Gründen:</w:t>
      </w:r>
    </w:p>
    <w:p>
      <w:pPr>
        <w:jc w:val="left"/>
      </w:pPr>
      <w:r>
        <w:rPr>
          <w:b/>
        </w:rPr>
        <w:t>1. Minderungsquote überhöht:</w:t>
      </w:r>
      <w:r>
        <w:t xml:space="preserve"> Selbst wenn ein Schimmelfleck von ca. 4 m² in einem von vier Zimmern vorliegt, ist eine Minderung von 30 % der Gesamtmiete nicht gerechtfertigt. Nach ständiger Rechtsprechung des BGH und der Oberlandesgerichte ist die Minderungsquote nach dem Verhältnis der beeinträchtigten Wohnfläche zur Gesamtfläche sowie nach der Intensität der Nutzungsbeeinträchtigung zu bestimmen (vgl. BGH, Urt. v. 06.10.2004, VIII ZR 355/03; BGH, Urt. v. 17.06.2015, VIII ZR 19/14). Bei einem Mangel, der lediglich ein Zimmer (ca. 18 m² von 110 m²) betrifft, ist eine Minderung von maximal 10–15 % angemessen.</w:t>
      </w:r>
    </w:p>
    <w:p>
      <w:pPr>
        <w:jc w:val="left"/>
      </w:pPr>
      <w:r>
        <w:rPr>
          <w:b/>
        </w:rPr>
        <w:t>2. Keine Gesundheitsgefährdung:</w:t>
      </w:r>
      <w:r>
        <w:t xml:space="preserve"> Das Gutachten des von Ihnen beauftragten Sachverständigen Wallesch spricht selbst von einer angemessenen Minderungsquote von 10–15 % (Gutachten GW-2026-048, Ziffer 6). Selbst nach dem von Ihnen vorgelegten Beweismittel ist Ihre eigene Minderung von 30 % unzutreffend.</w:t>
      </w:r>
    </w:p>
    <w:p>
      <w:pPr>
        <w:jc w:val="left"/>
      </w:pPr>
      <w:r>
        <w:rPr>
          <w:b/>
        </w:rPr>
        <w:t>3. Mangelbeseitigung geboten:</w:t>
      </w:r>
      <w:r>
        <w:t xml:space="preserve"> Unsere Mandanten sind bereit, den Schaden unverzüglich zu beheben. Wir haben bereits mit dem Bauunternehmen Schimmel-Sano GmbH &amp; Co. KG (Subondernerin) sowie dem Architekturbüro Möhren+Partner einen Sanierungsplan erarbeitet. Termin für Sanierungsbegehung: 04.04.2026. Wir bitten um Terminbestätigung.</w:t>
      </w:r>
    </w:p>
    <w:p/>
    <w:p>
      <w:pPr>
        <w:pStyle w:val="Heading2"/>
      </w:pPr>
      <w:r>
        <w:rPr>
          <w:rFonts w:ascii="Times New Roman" w:hAnsi="Times New Roman"/>
        </w:rPr>
        <w:t>Zahlungsaufforderung</w:t>
      </w:r>
    </w:p>
    <w:p>
      <w:pPr>
        <w:jc w:val="left"/>
      </w:pPr>
      <w:r>
        <w:t xml:space="preserve">Wir fordern Sie auf, den Rückstand von </w:t>
      </w:r>
      <w:r>
        <w:rPr>
          <w:b/>
        </w:rPr>
        <w:t>1.310,40 EUR</w:t>
      </w:r>
      <w:r>
        <w:t xml:space="preserve"> bis zum </w:t>
      </w:r>
      <w:r>
        <w:rPr>
          <w:b/>
        </w:rPr>
        <w:t>03. April 2026</w:t>
      </w:r>
      <w:r>
        <w:t xml:space="preserve"> auf das Konto unserer Mandanten</w:t>
      </w:r>
    </w:p>
    <w:p>
      <w:pPr>
        <w:jc w:val="left"/>
      </w:pPr>
      <w:r>
        <w:rPr>
          <w:b/>
        </w:rPr>
        <w:t>IBAN: DE83 3708 0040 0311 4450 00 (Commerzbank Köln)</w:t>
      </w:r>
    </w:p>
    <w:p>
      <w:pPr>
        <w:jc w:val="left"/>
      </w:pPr>
      <w:r>
        <w:t>zu überweisen.</w:t>
      </w:r>
    </w:p>
    <w:p>
      <w:pPr>
        <w:jc w:val="left"/>
      </w:pPr>
      <w:r>
        <w:t xml:space="preserve">Darüber hinaus fordern wir Sie auf, die Minderung ab April 2026 auf </w:t>
      </w:r>
      <w:r>
        <w:rPr>
          <w:b/>
        </w:rPr>
        <w:t>maximal 15 %</w:t>
      </w:r>
      <w:r>
        <w:t xml:space="preserve"> zu reduzieren und die volle Miete abzüglich dieses Betrages zu zahlen, also monatlich mindestens </w:t>
      </w:r>
      <w:r>
        <w:rPr>
          <w:b/>
        </w:rPr>
        <w:t>1.856,40 EUR</w:t>
      </w:r>
      <w:r>
        <w:t xml:space="preserve"> (2.184,00 × 85 %).</w:t>
      </w:r>
    </w:p>
    <w:p>
      <w:pPr>
        <w:jc w:val="left"/>
      </w:pPr>
      <w:r>
        <w:t>Sollten Sie der Zahlungsaufforderung nicht innerhalb der gesetzten Frist nachkommen, behalten wir uns vor, Zahlungsklage zu erheben und die Kündigung wegen Zahlungsverzugs (§ 543 Abs. 2 Nr. 3 BGB) zu erklären, soweit die gesetzlichen Voraussetzungen erfüllt sind.</w:t>
      </w:r>
    </w:p>
    <w:p/>
    <w:p>
      <w:pPr>
        <w:jc w:val="left"/>
      </w:pPr>
      <w:r>
        <w:t>Mit freundlichen Grüßen</w:t>
      </w:r>
    </w:p>
    <w:p>
      <w:pPr>
        <w:jc w:val="left"/>
      </w:pPr>
      <w:r>
        <w:rPr>
          <w:b/>
        </w:rPr>
        <w:t>Hauck-Brüggemann Mietrecht</w:t>
      </w:r>
    </w:p>
    <w:p/>
    <w:p>
      <w:pPr>
        <w:jc w:val="left"/>
      </w:pPr>
      <w:r>
        <w:t>Vanessa Hauck-Brüggemann</w:t>
      </w:r>
    </w:p>
    <w:p>
      <w:pPr>
        <w:jc w:val="left"/>
      </w:pPr>
      <w:r>
        <w:t>Rechtsanwältin, Fachanwältin für Miet- und WEG-Recht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