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WEG-Beschluss Heizungsumstellung – Sole-Wasser-Wärmepumpe (TOP 6, 14.04.2026)</w:t>
      </w:r>
    </w:p>
    <w:p>
      <w:pPr>
        <w:jc w:val="left"/>
      </w:pPr>
      <w:r>
        <w:rPr>
          <w:i/>
        </w:rPr>
        <w:t>(Auszug und Erläuterung zum Protokoll der Eigentümerversammlung 14.04.2026, Beschluss-Nr. 2026/6)</w:t>
      </w:r>
    </w:p>
    <w:p/>
    <w:p>
      <w:pPr>
        <w:pStyle w:val="Heading2"/>
      </w:pPr>
      <w:r>
        <w:rPr>
          <w:rFonts w:ascii="Times New Roman" w:hAnsi="Times New Roman"/>
        </w:rPr>
        <w:t>1. Beschlusstext (wortlautgetreu aus Protokoll)</w:t>
      </w:r>
    </w:p>
    <w:p>
      <w:pPr>
        <w:ind w:left="567"/>
      </w:pPr>
      <w:r>
        <w:rPr>
          <w:b/>
          <w:i/>
        </w:rPr>
        <w:t>Beschluss-Nr. 2026/6</w:t>
      </w:r>
      <w:r>
        <w:rPr>
          <w:i/>
        </w:rPr>
        <w:t xml:space="preserve"> (14.04.2026, Abstimmung: 4:2, angenommen):</w:t>
      </w:r>
    </w:p>
    <w:p>
      <w:pPr>
        <w:ind w:left="567"/>
      </w:pPr>
      <w:r>
        <w:rPr>
          <w:i/>
        </w:rPr>
        <w:t>„Die WEG Rolandstraße 27a beschließt die Prüfung und ggf. Umsetzung einer Sole-Wasser-Wärmepumpe gemäß Angebot Energietechnik Scholl GmbH (Anlage 2 zum Protokoll, Angebotspreis 98.500 EUR netto zzgl. MwSt.), vorbehaltlich der Klärung aller behördlichen Genehmigungen und der bergrechtlichen Zulässigkeit. Die Verwalterin wird beauftragt, ein Rechtsgutachten zur bergrechtlichen und baurechtlichen Zulässigkeit einer Tiefenbohrung im Innenhof einzuholen sowie die Fördermöglichkeiten nach dem Bundesförderungsprogramm Effiziente Gebäude (BEG) zu prüfen. Ein erneuter Eigentümerbeschluss über die konkrete Umsetzung ist erforderlich."</w:t>
      </w:r>
    </w:p>
    <w:p/>
    <w:p>
      <w:pPr>
        <w:pStyle w:val="Heading2"/>
      </w:pPr>
      <w:r>
        <w:rPr>
          <w:rFonts w:ascii="Times New Roman" w:hAnsi="Times New Roman"/>
        </w:rPr>
        <w:t>2. Technische Beschreibung der geplanten Anlage</w:t>
      </w:r>
    </w:p>
    <w:p>
      <w:pPr>
        <w:jc w:val="left"/>
      </w:pPr>
      <w:r>
        <w:rPr>
          <w:b/>
        </w:rPr>
        <w:t>Anbieter:</w:t>
      </w:r>
      <w:r>
        <w:t xml:space="preserve"> Energietechnik Scholl GmbH, Rhöndorfer Straße 18, 53604 Bad Honnef</w:t>
      </w:r>
    </w:p>
    <w:p>
      <w:pPr>
        <w:jc w:val="left"/>
      </w:pPr>
      <w:r>
        <w:rPr>
          <w:b/>
        </w:rPr>
        <w:t>Angebot-Nr.:</w:t>
      </w:r>
      <w:r>
        <w:t xml:space="preserve"> ES-2026/0219 (Anlage 2 zum Protokoll)</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Parameter</w:t>
            </w:r>
          </w:p>
        </w:tc>
        <w:tc>
          <w:tcPr>
            <w:tcW w:type="dxa" w:w="4536"/>
          </w:tcPr>
          <w:p>
            <w:r>
              <w:rPr>
                <w:rFonts w:ascii="Times New Roman" w:hAnsi="Times New Roman"/>
                <w:b/>
                <w:sz w:val="20"/>
              </w:rPr>
              <w:t>Wert</w:t>
            </w:r>
          </w:p>
        </w:tc>
      </w:tr>
      <w:tr>
        <w:tc>
          <w:tcPr>
            <w:tcW w:type="dxa" w:w="4536"/>
          </w:tcPr>
          <w:p>
            <w:r>
              <w:rPr>
                <w:rFonts w:ascii="Times New Roman" w:hAnsi="Times New Roman"/>
                <w:sz w:val="20"/>
              </w:rPr>
              <w:t>Anlagetyp</w:t>
            </w:r>
          </w:p>
        </w:tc>
        <w:tc>
          <w:tcPr>
            <w:tcW w:type="dxa" w:w="4536"/>
          </w:tcPr>
          <w:p>
            <w:r>
              <w:rPr>
                <w:rFonts w:ascii="Times New Roman" w:hAnsi="Times New Roman"/>
                <w:sz w:val="20"/>
              </w:rPr>
              <w:t>Sole-Wasser-Wärmepumpe (Erdwärme)</w:t>
            </w:r>
          </w:p>
        </w:tc>
      </w:tr>
      <w:tr>
        <w:tc>
          <w:tcPr>
            <w:tcW w:type="dxa" w:w="4536"/>
          </w:tcPr>
          <w:p>
            <w:r>
              <w:rPr>
                <w:rFonts w:ascii="Times New Roman" w:hAnsi="Times New Roman"/>
                <w:sz w:val="20"/>
              </w:rPr>
              <w:t>Modell</w:t>
            </w:r>
          </w:p>
        </w:tc>
        <w:tc>
          <w:tcPr>
            <w:tcW w:type="dxa" w:w="4536"/>
          </w:tcPr>
          <w:p>
            <w:r>
              <w:rPr>
                <w:rFonts w:ascii="Times New Roman" w:hAnsi="Times New Roman"/>
                <w:sz w:val="20"/>
              </w:rPr>
              <w:t>Vaillant geoTHERM VWS 145/4 (15 kW Heizleistung)</w:t>
            </w:r>
          </w:p>
        </w:tc>
      </w:tr>
      <w:tr>
        <w:tc>
          <w:tcPr>
            <w:tcW w:type="dxa" w:w="4536"/>
          </w:tcPr>
          <w:p>
            <w:r>
              <w:rPr>
                <w:rFonts w:ascii="Times New Roman" w:hAnsi="Times New Roman"/>
                <w:sz w:val="20"/>
              </w:rPr>
              <w:t>Tiefenbohrung</w:t>
            </w:r>
          </w:p>
        </w:tc>
        <w:tc>
          <w:tcPr>
            <w:tcW w:type="dxa" w:w="4536"/>
          </w:tcPr>
          <w:p>
            <w:r>
              <w:rPr>
                <w:rFonts w:ascii="Times New Roman" w:hAnsi="Times New Roman"/>
                <w:sz w:val="20"/>
              </w:rPr>
              <w:t>2 × 100 m (Doppel-U-Sonde) im Innenhof</w:t>
            </w:r>
          </w:p>
        </w:tc>
      </w:tr>
      <w:tr>
        <w:tc>
          <w:tcPr>
            <w:tcW w:type="dxa" w:w="4536"/>
          </w:tcPr>
          <w:p>
            <w:r>
              <w:rPr>
                <w:rFonts w:ascii="Times New Roman" w:hAnsi="Times New Roman"/>
                <w:sz w:val="20"/>
              </w:rPr>
              <w:t>Pufferspeicher</w:t>
            </w:r>
          </w:p>
        </w:tc>
        <w:tc>
          <w:tcPr>
            <w:tcW w:type="dxa" w:w="4536"/>
          </w:tcPr>
          <w:p>
            <w:r>
              <w:rPr>
                <w:rFonts w:ascii="Times New Roman" w:hAnsi="Times New Roman"/>
                <w:sz w:val="20"/>
              </w:rPr>
              <w:t>800 Liter</w:t>
            </w:r>
          </w:p>
        </w:tc>
      </w:tr>
      <w:tr>
        <w:tc>
          <w:tcPr>
            <w:tcW w:type="dxa" w:w="4536"/>
          </w:tcPr>
          <w:p>
            <w:r>
              <w:rPr>
                <w:rFonts w:ascii="Times New Roman" w:hAnsi="Times New Roman"/>
                <w:sz w:val="20"/>
              </w:rPr>
              <w:t>Warmwasserbereitung</w:t>
            </w:r>
          </w:p>
        </w:tc>
        <w:tc>
          <w:tcPr>
            <w:tcW w:type="dxa" w:w="4536"/>
          </w:tcPr>
          <w:p>
            <w:r>
              <w:rPr>
                <w:rFonts w:ascii="Times New Roman" w:hAnsi="Times New Roman"/>
                <w:sz w:val="20"/>
              </w:rPr>
              <w:t>integriert über Frischwassersystem</w:t>
            </w:r>
          </w:p>
        </w:tc>
      </w:tr>
      <w:tr>
        <w:tc>
          <w:tcPr>
            <w:tcW w:type="dxa" w:w="4536"/>
          </w:tcPr>
          <w:p>
            <w:r>
              <w:rPr>
                <w:rFonts w:ascii="Times New Roman" w:hAnsi="Times New Roman"/>
                <w:sz w:val="20"/>
              </w:rPr>
              <w:t>Netto-Angebotspreis</w:t>
            </w:r>
          </w:p>
        </w:tc>
        <w:tc>
          <w:tcPr>
            <w:tcW w:type="dxa" w:w="4536"/>
          </w:tcPr>
          <w:p>
            <w:r>
              <w:rPr>
                <w:rFonts w:ascii="Times New Roman" w:hAnsi="Times New Roman"/>
                <w:sz w:val="20"/>
              </w:rPr>
              <w:t>98.500 EUR</w:t>
            </w:r>
          </w:p>
        </w:tc>
      </w:tr>
      <w:tr>
        <w:tc>
          <w:tcPr>
            <w:tcW w:type="dxa" w:w="4536"/>
          </w:tcPr>
          <w:p>
            <w:r>
              <w:rPr>
                <w:rFonts w:ascii="Times New Roman" w:hAnsi="Times New Roman"/>
                <w:sz w:val="20"/>
              </w:rPr>
              <w:t>Brutto (inkl. 19 % MwSt.)</w:t>
            </w:r>
          </w:p>
        </w:tc>
        <w:tc>
          <w:tcPr>
            <w:tcW w:type="dxa" w:w="4536"/>
          </w:tcPr>
          <w:p>
            <w:r>
              <w:rPr>
                <w:rFonts w:ascii="Times New Roman" w:hAnsi="Times New Roman"/>
                <w:sz w:val="20"/>
              </w:rPr>
              <w:t>117.215 EUR</w:t>
            </w:r>
          </w:p>
        </w:tc>
      </w:tr>
      <w:tr>
        <w:tc>
          <w:tcPr>
            <w:tcW w:type="dxa" w:w="4536"/>
          </w:tcPr>
          <w:p>
            <w:r>
              <w:rPr>
                <w:rFonts w:ascii="Times New Roman" w:hAnsi="Times New Roman"/>
                <w:sz w:val="20"/>
              </w:rPr>
              <w:t>Geschätzte BEG-Förderung</w:t>
            </w:r>
          </w:p>
        </w:tc>
        <w:tc>
          <w:tcPr>
            <w:tcW w:type="dxa" w:w="4536"/>
          </w:tcPr>
          <w:p>
            <w:r>
              <w:rPr>
                <w:rFonts w:ascii="Times New Roman" w:hAnsi="Times New Roman"/>
                <w:sz w:val="20"/>
              </w:rPr>
              <w:t>bis zu 35 % = 41.025 EUR brutto</w:t>
            </w:r>
          </w:p>
        </w:tc>
      </w:tr>
      <w:tr>
        <w:tc>
          <w:tcPr>
            <w:tcW w:type="dxa" w:w="4536"/>
          </w:tcPr>
          <w:p>
            <w:r>
              <w:rPr>
                <w:rFonts w:ascii="Times New Roman" w:hAnsi="Times New Roman"/>
                <w:sz w:val="20"/>
              </w:rPr>
              <w:t>Eigenanteil WEG nach Förderung (ca.)</w:t>
            </w:r>
          </w:p>
        </w:tc>
        <w:tc>
          <w:tcPr>
            <w:tcW w:type="dxa" w:w="4536"/>
          </w:tcPr>
          <w:p>
            <w:r>
              <w:rPr>
                <w:rFonts w:ascii="Times New Roman" w:hAnsi="Times New Roman"/>
                <w:sz w:val="20"/>
              </w:rPr>
              <w:t>ca. 76.190 EUR</w:t>
            </w:r>
          </w:p>
        </w:tc>
      </w:tr>
      <w:tr>
        <w:tc>
          <w:tcPr>
            <w:tcW w:type="dxa" w:w="4536"/>
          </w:tcPr>
          <w:p>
            <w:r>
              <w:rPr>
                <w:rFonts w:ascii="Times New Roman" w:hAnsi="Times New Roman"/>
                <w:sz w:val="20"/>
              </w:rPr>
              <w:t>MEA-Anteil Straßburger (14 %)</w:t>
            </w:r>
          </w:p>
        </w:tc>
        <w:tc>
          <w:tcPr>
            <w:tcW w:type="dxa" w:w="4536"/>
          </w:tcPr>
          <w:p>
            <w:r>
              <w:rPr>
                <w:rFonts w:ascii="Times New Roman" w:hAnsi="Times New Roman"/>
                <w:sz w:val="20"/>
              </w:rPr>
              <w:t>ca. 10.667 EUR</w:t>
            </w:r>
          </w:p>
        </w:tc>
      </w:tr>
    </w:tbl>
    <w:p/>
    <w:p>
      <w:pPr>
        <w:pStyle w:val="Heading2"/>
      </w:pPr>
      <w:r>
        <w:rPr>
          <w:rFonts w:ascii="Times New Roman" w:hAnsi="Times New Roman"/>
        </w:rPr>
        <w:t>3. Rechtliche Offene Punkte</w:t>
      </w:r>
    </w:p>
    <w:p>
      <w:pPr>
        <w:pStyle w:val="Heading3"/>
      </w:pPr>
      <w:r>
        <w:rPr>
          <w:rFonts w:ascii="Times New Roman" w:hAnsi="Times New Roman"/>
        </w:rPr>
        <w:t>3.1 Bergrechtliche Zulässigkeit (§ 127 BBergG)</w:t>
      </w:r>
    </w:p>
    <w:p>
      <w:pPr>
        <w:jc w:val="left"/>
      </w:pPr>
      <w:r>
        <w:t xml:space="preserve">In Nordrhein-Westfalen bedürfen Bohrungen zur Erdwärmenutzung ab einer Tiefe von 100 m einer Erlaubnis nach dem </w:t>
      </w:r>
      <w:r>
        <w:rPr>
          <w:b/>
        </w:rPr>
        <w:t>Bundesberggesetz (BBergG)</w:t>
      </w:r>
      <w:r>
        <w:t xml:space="preserve">. Zuständig: </w:t>
      </w:r>
      <w:r>
        <w:rPr>
          <w:b/>
        </w:rPr>
        <w:t>Bezirksregierung Arnsberg, Abteilung Bergbau und Energie in NRW (BVBF)</w:t>
      </w:r>
      <w:r>
        <w:t>. In innerstädtischen Kölner Lagen bestehen teils Auflagen wegen:</w:t>
      </w:r>
    </w:p>
    <w:p>
      <w:pPr>
        <w:pStyle w:val="ListBullet"/>
      </w:pPr>
      <w:r>
        <w:t>unterirdischer Versorgungsleitungen (Strom, Gas, Wasser, Kanalisation)</w:t>
      </w:r>
    </w:p>
    <w:p>
      <w:pPr>
        <w:pStyle w:val="ListBullet"/>
      </w:pPr>
      <w:r>
        <w:t>bestehender Bergbauberechtigungen (historisch)</w:t>
      </w:r>
    </w:p>
    <w:p>
      <w:pPr>
        <w:pStyle w:val="ListBullet"/>
      </w:pPr>
      <w:r>
        <w:t>Bedenken gegenüber Grundwasserleiter-Interferenz</w:t>
      </w:r>
    </w:p>
    <w:p>
      <w:pPr>
        <w:jc w:val="left"/>
      </w:pPr>
      <w:r>
        <w:t>Dr. Boris Straßburger-Möhren hat in der Versammlung auf diese Risiken hingewiesen (Protokollvermerk). Gegenstimme Straßburger.</w:t>
      </w:r>
    </w:p>
    <w:p>
      <w:pPr>
        <w:pStyle w:val="Heading3"/>
      </w:pPr>
      <w:r>
        <w:rPr>
          <w:rFonts w:ascii="Times New Roman" w:hAnsi="Times New Roman"/>
        </w:rPr>
        <w:t>3.2 Baurechtliche Genehmigung</w:t>
      </w:r>
    </w:p>
    <w:p>
      <w:pPr>
        <w:jc w:val="left"/>
      </w:pPr>
      <w:r>
        <w:t>Für Bohrarbeiten im Innenhof ist eine Baugenehmigung (§ 63 BauO NRW) erforderlich. Die Innenhoffläche ist laut Bebauungsplan K-1877 als private Grünfläche ausgewiesen; ein Bohrvorbehalt besteht nicht, ist aber auch nicht ausdrücklich ausgeschlossen.</w:t>
      </w:r>
    </w:p>
    <w:p>
      <w:pPr>
        <w:pStyle w:val="Heading3"/>
      </w:pPr>
      <w:r>
        <w:rPr>
          <w:rFonts w:ascii="Times New Roman" w:hAnsi="Times New Roman"/>
        </w:rPr>
        <w:t>3.3 Denkmalrechtliche Aspekte</w:t>
      </w:r>
    </w:p>
    <w:p>
      <w:pPr>
        <w:jc w:val="left"/>
      </w:pPr>
      <w:r>
        <w:t>Da das Gebäude unter Denkmalschutz steht, sind Eingriffe in die Außenanlagen (Innenhof als Bestandteil des denkmalgeschützten Ensembles?) mit der Unteren Denkmalbehörde Köln abzustimmen.</w:t>
      </w:r>
    </w:p>
    <w:p/>
    <w:p>
      <w:pPr>
        <w:pStyle w:val="Heading2"/>
      </w:pPr>
      <w:r>
        <w:rPr>
          <w:rFonts w:ascii="Times New Roman" w:hAnsi="Times New Roman"/>
        </w:rPr>
        <w:t>4. BEG-Förderung</w:t>
      </w:r>
    </w:p>
    <w:p>
      <w:pPr>
        <w:jc w:val="left"/>
      </w:pPr>
      <w:r>
        <w:t>Nach aktuellem Programmstand (BAFA, BEG EM, Stand 01/2026) gelten folgende Fördersätze für Wärmepumpen im Bestandsgebäude: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Fördertatbestand</w:t>
            </w:r>
          </w:p>
        </w:tc>
        <w:tc>
          <w:tcPr>
            <w:tcW w:type="dxa" w:w="4536"/>
          </w:tcPr>
          <w:p>
            <w:r>
              <w:rPr>
                <w:rFonts w:ascii="Times New Roman" w:hAnsi="Times New Roman"/>
                <w:b/>
                <w:sz w:val="20"/>
              </w:rPr>
              <w:t>Fördersatz</w:t>
            </w:r>
          </w:p>
        </w:tc>
      </w:tr>
      <w:tr>
        <w:tc>
          <w:tcPr>
            <w:tcW w:type="dxa" w:w="4536"/>
          </w:tcPr>
          <w:p>
            <w:r>
              <w:rPr>
                <w:rFonts w:ascii="Times New Roman" w:hAnsi="Times New Roman"/>
                <w:sz w:val="20"/>
              </w:rPr>
              <w:t>Grundförderung Wärmepumpe (Effizienz 150 %)</w:t>
            </w:r>
          </w:p>
        </w:tc>
        <w:tc>
          <w:tcPr>
            <w:tcW w:type="dxa" w:w="4536"/>
          </w:tcPr>
          <w:p>
            <w:r>
              <w:rPr>
                <w:rFonts w:ascii="Times New Roman" w:hAnsi="Times New Roman"/>
                <w:sz w:val="20"/>
              </w:rPr>
              <w:t>30 %</w:t>
            </w:r>
          </w:p>
        </w:tc>
      </w:tr>
      <w:tr>
        <w:tc>
          <w:tcPr>
            <w:tcW w:type="dxa" w:w="4536"/>
          </w:tcPr>
          <w:p>
            <w:r>
              <w:rPr>
                <w:rFonts w:ascii="Times New Roman" w:hAnsi="Times New Roman"/>
                <w:sz w:val="20"/>
              </w:rPr>
              <w:t>Geschwindigkeitsbonus (vor GEG-Pflicht)</w:t>
            </w:r>
          </w:p>
        </w:tc>
        <w:tc>
          <w:tcPr>
            <w:tcW w:type="dxa" w:w="4536"/>
          </w:tcPr>
          <w:p>
            <w:r>
              <w:rPr>
                <w:rFonts w:ascii="Times New Roman" w:hAnsi="Times New Roman"/>
                <w:sz w:val="20"/>
              </w:rPr>
              <w:t>+ 20 % (bis 31.12.2028)</w:t>
            </w:r>
          </w:p>
        </w:tc>
      </w:tr>
      <w:tr>
        <w:tc>
          <w:tcPr>
            <w:tcW w:type="dxa" w:w="4536"/>
          </w:tcPr>
          <w:p>
            <w:r>
              <w:rPr>
                <w:rFonts w:ascii="Times New Roman" w:hAnsi="Times New Roman"/>
                <w:sz w:val="20"/>
              </w:rPr>
              <w:t>Einkommensbonus (trifft auf WEG nicht zu)</w:t>
            </w:r>
          </w:p>
        </w:tc>
        <w:tc>
          <w:tcPr>
            <w:tcW w:type="dxa" w:w="4536"/>
          </w:tcPr>
          <w:p>
            <w:r>
              <w:rPr>
                <w:rFonts w:ascii="Times New Roman" w:hAnsi="Times New Roman"/>
                <w:sz w:val="20"/>
              </w:rPr>
              <w:t>–</w:t>
            </w:r>
          </w:p>
        </w:tc>
      </w:tr>
      <w:tr>
        <w:tc>
          <w:tcPr>
            <w:tcW w:type="dxa" w:w="4536"/>
          </w:tcPr>
          <w:p>
            <w:r>
              <w:rPr>
                <w:rFonts w:ascii="Times New Roman" w:hAnsi="Times New Roman"/>
                <w:b/>
                <w:sz w:val="20"/>
              </w:rPr>
              <w:t>Maximaler Gesamtfördersatz</w:t>
            </w:r>
          </w:p>
        </w:tc>
        <w:tc>
          <w:tcPr>
            <w:tcW w:type="dxa" w:w="4536"/>
          </w:tcPr>
          <w:p>
            <w:r>
              <w:rPr>
                <w:rFonts w:ascii="Times New Roman" w:hAnsi="Times New Roman"/>
                <w:b/>
                <w:sz w:val="20"/>
              </w:rPr>
              <w:t>50 %</w:t>
            </w:r>
            <w:r>
              <w:rPr>
                <w:rFonts w:ascii="Times New Roman" w:hAnsi="Times New Roman"/>
                <w:sz w:val="20"/>
              </w:rPr>
              <w:t xml:space="preserve"> (max. 30.000 EUR je WE)</w:t>
            </w:r>
          </w:p>
        </w:tc>
      </w:tr>
    </w:tbl>
    <w:p>
      <w:pPr>
        <w:jc w:val="left"/>
      </w:pPr>
      <w:r>
        <w:t>Bei 6 WE und 117.215 EUR Bruttoinvestition wäre eine maximale Förderung von 6 × 30.000 = 180.000 EUR theoretisch möglich, jedoch begrenzt auf die tatsächlichen förderfähigen Kosten (max. 60.000 EUR je WE → Antragsgrenze bei dieser Investitionssumme). Realistisch: ca. 35.000–45.000 EUR Förderung gesamt.</w:t>
      </w:r>
    </w:p>
    <w:p>
      <w:pPr>
        <w:jc w:val="left"/>
      </w:pPr>
      <w:r>
        <w:rPr>
          <w:b/>
        </w:rPr>
        <w:t>Hinweis:</w:t>
      </w:r>
      <w:r>
        <w:t xml:space="preserve"> Die Förderung ist an Energieberatung (iSFP) und fachkundige Antragstellung (Energieeffizienz-Experte) geknüpft.</w:t>
      </w:r>
    </w:p>
    <w:p/>
    <w:p>
      <w:pPr>
        <w:pStyle w:val="Heading2"/>
      </w:pPr>
      <w:r>
        <w:rPr>
          <w:rFonts w:ascii="Times New Roman" w:hAnsi="Times New Roman"/>
        </w:rPr>
        <w:t>5. Nächste Schritte</w:t>
      </w:r>
    </w:p>
    <w:p>
      <w:pPr>
        <w:pStyle w:val="ListNumber"/>
      </w:pPr>
      <w:r>
        <w:t>Beauftragung Rechtsgutachten Bergrecht (Kanzlei Rheinland Bergrecht, Kosten ca. 3.500 EUR)</w:t>
      </w:r>
    </w:p>
    <w:p>
      <w:pPr>
        <w:pStyle w:val="ListNumber"/>
      </w:pPr>
      <w:r>
        <w:t>Anfrage Bezirksregierung Arnsberg zu Bohrgenehmigung Innenhof Rolandstraße</w:t>
      </w:r>
    </w:p>
    <w:p>
      <w:pPr>
        <w:pStyle w:val="ListNumber"/>
      </w:pPr>
      <w:r>
        <w:t>Beauftragung Energieberatung (iSFP, Kosten ca. 1.200 EUR)</w:t>
      </w:r>
    </w:p>
    <w:p>
      <w:pPr>
        <w:pStyle w:val="ListNumber"/>
      </w:pPr>
      <w:r>
        <w:t>Außerordentliche EV bei positivem Gutachtenergebnis: Umsetzungsbeschluss</w:t>
      </w:r>
    </w:p>
    <w:p/>
    <w:p>
      <w:pPr>
        <w:jc w:val="left"/>
      </w:pPr>
      <w:r>
        <w:rPr>
          <w:i/>
        </w:rPr>
        <w:t>Erstellt: RA'in Hauck-Brüggemann, 20.04.2026 (Grundlage: Protokoll EV 14.04.2026)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