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Mandantenrundbrief – Dr. Straßburger / Dr. Straßburger-Möhren</w:t>
      </w:r>
    </w:p>
    <w:p>
      <w:pPr>
        <w:jc w:val="left"/>
      </w:pPr>
      <w:r>
        <w:rPr>
          <w:b/>
        </w:rPr>
        <w:t>Kanzlei Hauck-Brüggemann Mietrecht</w:t>
      </w:r>
    </w:p>
    <w:p>
      <w:pPr>
        <w:jc w:val="left"/>
      </w:pPr>
      <w:r>
        <w:t>Berrenrather Straße 114 · 50937 Köln-Sülz</w:t>
      </w:r>
    </w:p>
    <w:p>
      <w:pPr>
        <w:jc w:val="left"/>
      </w:pPr>
      <w:r>
        <w:t xml:space="preserve">Köln, den </w:t>
      </w:r>
      <w:r>
        <w:rPr>
          <w:b/>
        </w:rPr>
        <w:t>10. Mai 2026</w:t>
      </w:r>
    </w:p>
    <w:p/>
    <w:p>
      <w:pPr>
        <w:jc w:val="left"/>
      </w:pPr>
      <w:r>
        <w:rPr>
          <w:b/>
        </w:rPr>
        <w:t>An:</w:t>
      </w:r>
    </w:p>
    <w:p>
      <w:pPr>
        <w:jc w:val="left"/>
      </w:pPr>
      <w:r>
        <w:t>Dr. Cornelia Straßburger und Dr. Boris Straßburger-Möhren</w:t>
      </w:r>
    </w:p>
    <w:p>
      <w:pPr>
        <w:jc w:val="left"/>
      </w:pPr>
      <w:r>
        <w:t>Bachemer Straße 84</w:t>
      </w:r>
    </w:p>
    <w:p>
      <w:pPr>
        <w:jc w:val="left"/>
      </w:pPr>
      <w:r>
        <w:t>50931 Köln-Lindenthal</w:t>
      </w:r>
    </w:p>
    <w:p>
      <w:pPr>
        <w:jc w:val="left"/>
      </w:pPr>
      <w:r>
        <w:rPr>
          <w:i/>
        </w:rPr>
        <w:t>(vertraulich / per E-Mail mit Verschlüsselung)</w:t>
      </w:r>
    </w:p>
    <w:p/>
    <w:p>
      <w:pPr>
        <w:pStyle w:val="Heading2"/>
      </w:pPr>
      <w:r>
        <w:rPr>
          <w:rFonts w:ascii="Times New Roman" w:hAnsi="Times New Roman"/>
        </w:rPr>
        <w:t>Sachstandsbericht – Mai 2026</w:t>
      </w:r>
    </w:p>
    <w:p>
      <w:pPr>
        <w:jc w:val="left"/>
      </w:pPr>
      <w:r>
        <w:t>Sehr geehrte Frau Dr. Straßburger, sehr geehrter Herr Dr. Straßburger-Möhren,</w:t>
      </w:r>
    </w:p>
    <w:p>
      <w:pPr>
        <w:jc w:val="left"/>
      </w:pPr>
      <w:r>
        <w:t>ich berichte Ihnen über den aktuellen Stand in allen laufenden Angelegenheiten:</w:t>
      </w:r>
    </w:p>
    <w:p/>
    <w:p>
      <w:pPr>
        <w:pStyle w:val="Heading3"/>
      </w:pPr>
      <w:r>
        <w:rPr>
          <w:rFonts w:ascii="Times New Roman" w:hAnsi="Times New Roman"/>
        </w:rPr>
        <w:t>1. Eigenbedarfskündigung / Räumungsklage (AZ: 213 C 188/26)</w:t>
      </w:r>
    </w:p>
    <w:p>
      <w:pPr>
        <w:jc w:val="left"/>
      </w:pPr>
      <w:r>
        <w:rPr>
          <w:b/>
        </w:rPr>
        <w:t>Sachstand:</w:t>
      </w:r>
      <w:r>
        <w:t xml:space="preserve"> Der Widerspruch der Mieter vom 18.03.2026 liegt vor. Eine Einigung im Rahmen des Schlichtungsvorschlags des Mietervereins (Räumung bis 31.03.2028 gegen 5.000 EUR Abfindung) wurde von Ihrer Seite nicht akzeptiert. Die Schlichtungsfrist (06.05.2026) ist abgelaufen.</w:t>
      </w:r>
    </w:p>
    <w:p>
      <w:pPr>
        <w:jc w:val="left"/>
      </w:pPr>
      <w:r>
        <w:rPr>
          <w:b/>
        </w:rPr>
        <w:t>Weiteres Vorgehen:</w:t>
      </w:r>
      <w:r>
        <w:t xml:space="preserve"> Ich empfehle, die Räumungsklage nunmehr einzureichen. Der Entwurf liegt Ihnen als Aktenstück 19 zur Genehmigung vor. Bitte bestätigen Sie per E-Mail, dass Sie mit der Einreichung einverstanden sind. Nach Einreichung dauert es erfahrungsgemäß 3–5 Monate bis zur mündlichen Verhandlung am AG Köln.</w:t>
      </w:r>
    </w:p>
    <w:p>
      <w:pPr>
        <w:jc w:val="left"/>
      </w:pPr>
      <w:r>
        <w:rPr>
          <w:b/>
        </w:rPr>
        <w:t>Chanceneinschätzung:</w:t>
      </w:r>
      <w:r>
        <w:t xml:space="preserve"> Die Eigenbedarfssituation ist gut belegt. Das Hauptrisiko liegt im Widerspruch Herrn Albrechts (Vikariat). Das Gericht könnte eine Schonfrist von 6–12 Monaten über Oktober 2026 hinaus gewähren. </w:t>
      </w:r>
      <w:r>
        <w:rPr>
          <w:b/>
        </w:rPr>
        <w:t>Ich schätze: 65 % Chance auf Räumung bis Ende 2027.</w:t>
      </w:r>
    </w:p>
    <w:p/>
    <w:p>
      <w:pPr>
        <w:pStyle w:val="Heading3"/>
      </w:pPr>
      <w:r>
        <w:rPr>
          <w:rFonts w:ascii="Times New Roman" w:hAnsi="Times New Roman"/>
        </w:rPr>
        <w:t>2. WEG-Anfechtungsklage (AZ: 205 C 67/26)</w:t>
      </w:r>
    </w:p>
    <w:p>
      <w:pPr>
        <w:jc w:val="left"/>
      </w:pPr>
      <w:r>
        <w:rPr>
          <w:b/>
        </w:rPr>
        <w:t>Sachstand:</w:t>
      </w:r>
      <w:r>
        <w:t xml:space="preserve"> Die Anfechtungsklage gegen den Treppenhaussanierungsbeschluss vom 14.04.2026 wurde am 12.05.2026 beim AG Köln eingereicht (Frist gewahrt). Das Gericht hat das Verfahren unter AZ 205 C 67/26 eingetragen. Ein Verhandlungstermin steht noch nicht fest.</w:t>
      </w:r>
    </w:p>
    <w:p>
      <w:pPr>
        <w:jc w:val="left"/>
      </w:pPr>
      <w:r>
        <w:rPr>
          <w:b/>
        </w:rPr>
        <w:t>Weiteres Vorgehen:</w:t>
      </w:r>
      <w:r>
        <w:t xml:space="preserve"> Wir werden das Gegengutachten Ihres Büros (Möhren+Partner) als Anlage einreichen und einen Sachverständigenbeweis anbieten. Ich rechne mit einem Verhandlungstermin im Herbst 2026.</w:t>
      </w:r>
    </w:p>
    <w:p>
      <w:pPr>
        <w:jc w:val="left"/>
      </w:pPr>
      <w:r>
        <w:rPr>
          <w:b/>
        </w:rPr>
        <w:t>Chanceneinschätzung:</w:t>
      </w:r>
      <w:r>
        <w:t xml:space="preserve"> Die 75 %ige Überhöhung der Sonderumlage über den Auftragswert ist ein starkes Argument. Gerichtliche Sachverständige schätzen in der Regel vorsichtig und werden die Sonderumlage als unverhältnismäßig bewerten. </w:t>
      </w:r>
      <w:r>
        <w:rPr>
          <w:b/>
        </w:rPr>
        <w:t>Ich schätze: 55–60 % Chance auf teilweise oder vollständige Aufhebung des Beschlusses.</w:t>
      </w:r>
    </w:p>
    <w:p/>
    <w:p>
      <w:pPr>
        <w:pStyle w:val="Heading3"/>
      </w:pPr>
      <w:r>
        <w:rPr>
          <w:rFonts w:ascii="Times New Roman" w:hAnsi="Times New Roman"/>
        </w:rPr>
        <w:t>3. Schimmel / Mietminderung</w:t>
      </w:r>
    </w:p>
    <w:p>
      <w:pPr>
        <w:jc w:val="left"/>
      </w:pPr>
      <w:r>
        <w:rPr>
          <w:b/>
        </w:rPr>
        <w:t>Sachstand:</w:t>
      </w:r>
      <w:r>
        <w:t xml:space="preserve"> Die Sanierung ist für den 15.05.2026 geplant (Fa. Schimmel-Sano, begleitet durch Büro Möhren+Partner). Die Mieter haben die Termine bisher nicht aktiv abgelehnt, aber auch keine Terminbestätigung gegeben. Formal sind sie zur Duldung verpflichtet (§ 555a BGB).</w:t>
      </w:r>
    </w:p>
    <w:p>
      <w:pPr>
        <w:jc w:val="left"/>
      </w:pPr>
      <w:r>
        <w:rPr>
          <w:b/>
        </w:rPr>
        <w:t>Weiteres Vorgehen:</w:t>
      </w:r>
      <w:r>
        <w:t xml:space="preserve"> Mahnung zur Terminbestätigung ist ausgegangen. Notfalls Klage auf Duldung der Instandhaltungsarbeiten. Sobald Mangel beseitigt ist, entfällt jede Berechtigung zur Minderung.</w:t>
      </w:r>
    </w:p>
    <w:p>
      <w:pPr>
        <w:jc w:val="left"/>
      </w:pPr>
      <w:r>
        <w:rPr>
          <w:b/>
        </w:rPr>
        <w:t>Zahlungsforderung:</w:t>
      </w:r>
      <w:r>
        <w:t xml:space="preserve"> Mietrückstand (unberechtigt einbehaltene Differenz 30 % vs. 15 %) beläuft sich auf Stand 20.05.2026 auf 1.638,00 EUR.</w:t>
      </w:r>
    </w:p>
    <w:p/>
    <w:p>
      <w:pPr>
        <w:pStyle w:val="Heading3"/>
      </w:pPr>
      <w:r>
        <w:rPr>
          <w:rFonts w:ascii="Times New Roman" w:hAnsi="Times New Roman"/>
        </w:rPr>
        <w:t>4. Wärmepumpe / BEG</w:t>
      </w:r>
    </w:p>
    <w:p>
      <w:pPr>
        <w:jc w:val="left"/>
      </w:pPr>
      <w:r>
        <w:rPr>
          <w:b/>
        </w:rPr>
        <w:t>Sachstand:</w:t>
      </w:r>
      <w:r>
        <w:t xml:space="preserve"> Rechtsgutachten Bergrecht wurde von der WEG-Verwalterin Rheineck beauftragt (Kanzlei Rheinland Bergrecht, Kosten 3.500 EUR). Ergebnis erwartet: August 2026. Parallel läuft Energieberatung (iSFP, Dipl.-Ing. Mensing-Bär).</w:t>
      </w:r>
    </w:p>
    <w:p>
      <w:pPr>
        <w:jc w:val="left"/>
      </w:pPr>
      <w:r>
        <w:rPr>
          <w:b/>
        </w:rPr>
        <w:t>Empfehlung:</w:t>
      </w:r>
      <w:r>
        <w:t xml:space="preserve"> Abwarten. Keine neuen Beschlüsse bis Gutachten vorliegt.</w:t>
      </w:r>
    </w:p>
    <w:p/>
    <w:p>
      <w:pPr>
        <w:pStyle w:val="Heading3"/>
      </w:pPr>
      <w:r>
        <w:rPr>
          <w:rFonts w:ascii="Times New Roman" w:hAnsi="Times New Roman"/>
        </w:rPr>
        <w:t>5. Kosten und Honorar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Vorschuss (EUR)</w:t>
            </w:r>
          </w:p>
        </w:tc>
        <w:tc>
          <w:tcPr>
            <w:tcW w:type="dxa" w:w="2268"/>
          </w:tcPr>
          <w:p>
            <w:r>
              <w:rPr>
                <w:rFonts w:ascii="Times New Roman" w:hAnsi="Times New Roman"/>
                <w:b/>
                <w:sz w:val="20"/>
              </w:rPr>
              <w:t>Verbraucht (EUR)</w:t>
            </w:r>
          </w:p>
        </w:tc>
        <w:tc>
          <w:tcPr>
            <w:tcW w:type="dxa" w:w="2268"/>
          </w:tcPr>
          <w:p>
            <w:r>
              <w:rPr>
                <w:rFonts w:ascii="Times New Roman" w:hAnsi="Times New Roman"/>
                <w:b/>
                <w:sz w:val="20"/>
              </w:rPr>
              <w:t>Offen (EUR)</w:t>
            </w:r>
          </w:p>
        </w:tc>
      </w:tr>
      <w:tr>
        <w:tc>
          <w:tcPr>
            <w:tcW w:type="dxa" w:w="2268"/>
          </w:tcPr>
          <w:p>
            <w:r>
              <w:rPr>
                <w:rFonts w:ascii="Times New Roman" w:hAnsi="Times New Roman"/>
                <w:sz w:val="20"/>
              </w:rPr>
              <w:t>Eigenbedarfskündigung + Räumungsklage</w:t>
            </w:r>
          </w:p>
        </w:tc>
        <w:tc>
          <w:tcPr>
            <w:tcW w:type="dxa" w:w="2268"/>
          </w:tcPr>
          <w:p>
            <w:r>
              <w:rPr>
                <w:rFonts w:ascii="Times New Roman" w:hAnsi="Times New Roman"/>
                <w:sz w:val="20"/>
              </w:rPr>
              <w:t>1.500</w:t>
            </w:r>
          </w:p>
        </w:tc>
        <w:tc>
          <w:tcPr>
            <w:tcW w:type="dxa" w:w="2268"/>
          </w:tcPr>
          <w:p>
            <w:r>
              <w:rPr>
                <w:rFonts w:ascii="Times New Roman" w:hAnsi="Times New Roman"/>
                <w:sz w:val="20"/>
              </w:rPr>
              <w:t>1.280</w:t>
            </w:r>
          </w:p>
        </w:tc>
        <w:tc>
          <w:tcPr>
            <w:tcW w:type="dxa" w:w="2268"/>
          </w:tcPr>
          <w:p>
            <w:r>
              <w:rPr>
                <w:rFonts w:ascii="Times New Roman" w:hAnsi="Times New Roman"/>
                <w:sz w:val="20"/>
              </w:rPr>
              <w:t>220</w:t>
            </w:r>
          </w:p>
        </w:tc>
      </w:tr>
      <w:tr>
        <w:tc>
          <w:tcPr>
            <w:tcW w:type="dxa" w:w="2268"/>
          </w:tcPr>
          <w:p>
            <w:r>
              <w:rPr>
                <w:rFonts w:ascii="Times New Roman" w:hAnsi="Times New Roman"/>
                <w:sz w:val="20"/>
              </w:rPr>
              <w:t>WEG-Anfechtung</w:t>
            </w:r>
          </w:p>
        </w:tc>
        <w:tc>
          <w:tcPr>
            <w:tcW w:type="dxa" w:w="2268"/>
          </w:tcPr>
          <w:p>
            <w:r>
              <w:rPr>
                <w:rFonts w:ascii="Times New Roman" w:hAnsi="Times New Roman"/>
                <w:sz w:val="20"/>
              </w:rPr>
              <w:t>1.000</w:t>
            </w:r>
          </w:p>
        </w:tc>
        <w:tc>
          <w:tcPr>
            <w:tcW w:type="dxa" w:w="2268"/>
          </w:tcPr>
          <w:p>
            <w:r>
              <w:rPr>
                <w:rFonts w:ascii="Times New Roman" w:hAnsi="Times New Roman"/>
                <w:sz w:val="20"/>
              </w:rPr>
              <w:t>850</w:t>
            </w:r>
          </w:p>
        </w:tc>
        <w:tc>
          <w:tcPr>
            <w:tcW w:type="dxa" w:w="2268"/>
          </w:tcPr>
          <w:p>
            <w:r>
              <w:rPr>
                <w:rFonts w:ascii="Times New Roman" w:hAnsi="Times New Roman"/>
                <w:sz w:val="20"/>
              </w:rPr>
              <w:t>150</w:t>
            </w:r>
          </w:p>
        </w:tc>
      </w:tr>
      <w:tr>
        <w:tc>
          <w:tcPr>
            <w:tcW w:type="dxa" w:w="2268"/>
          </w:tcPr>
          <w:p>
            <w:r>
              <w:rPr>
                <w:rFonts w:ascii="Times New Roman" w:hAnsi="Times New Roman"/>
                <w:b/>
                <w:sz w:val="20"/>
              </w:rPr>
              <w:t>Gesamt</w:t>
            </w:r>
          </w:p>
        </w:tc>
        <w:tc>
          <w:tcPr>
            <w:tcW w:type="dxa" w:w="2268"/>
          </w:tcPr>
          <w:p>
            <w:r>
              <w:rPr>
                <w:rFonts w:ascii="Times New Roman" w:hAnsi="Times New Roman"/>
                <w:b/>
                <w:sz w:val="20"/>
              </w:rPr>
              <w:t>2.500</w:t>
            </w:r>
          </w:p>
        </w:tc>
        <w:tc>
          <w:tcPr>
            <w:tcW w:type="dxa" w:w="2268"/>
          </w:tcPr>
          <w:p>
            <w:r>
              <w:rPr>
                <w:rFonts w:ascii="Times New Roman" w:hAnsi="Times New Roman"/>
                <w:b/>
                <w:sz w:val="20"/>
              </w:rPr>
              <w:t>2.130</w:t>
            </w:r>
          </w:p>
        </w:tc>
        <w:tc>
          <w:tcPr>
            <w:tcW w:type="dxa" w:w="2268"/>
          </w:tcPr>
          <w:p>
            <w:r>
              <w:rPr>
                <w:rFonts w:ascii="Times New Roman" w:hAnsi="Times New Roman"/>
                <w:b/>
                <w:sz w:val="20"/>
              </w:rPr>
              <w:t>370</w:t>
            </w:r>
          </w:p>
        </w:tc>
      </w:tr>
    </w:tbl>
    <w:p>
      <w:pPr>
        <w:jc w:val="left"/>
      </w:pPr>
      <w:r>
        <w:t xml:space="preserve">Bitte überweisen Sie einen weiteren Vorschuss von </w:t>
      </w:r>
      <w:r>
        <w:rPr>
          <w:b/>
        </w:rPr>
        <w:t>3.000 EUR</w:t>
      </w:r>
      <w:r>
        <w:t xml:space="preserve"> für das Räumungsklageverfahren und die weitere WEG-Anfechtung. IBAN: DE22 3702 0090 0098 4450 11 (Kanzleikonto Hauck-Brüggemann).</w:t>
      </w:r>
    </w:p>
    <w:p/>
    <w:p>
      <w:pPr>
        <w:pStyle w:val="Heading3"/>
      </w:pPr>
      <w:r>
        <w:rPr>
          <w:rFonts w:ascii="Times New Roman" w:hAnsi="Times New Roman"/>
        </w:rPr>
        <w:t>6. Nächste Termine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Termin</w:t>
            </w:r>
          </w:p>
        </w:tc>
      </w:tr>
      <w:tr>
        <w:tc>
          <w:tcPr>
            <w:tcW w:type="dxa" w:w="4536"/>
          </w:tcPr>
          <w:p>
            <w:r>
              <w:rPr>
                <w:rFonts w:ascii="Times New Roman" w:hAnsi="Times New Roman"/>
                <w:sz w:val="20"/>
              </w:rPr>
              <w:t>15.05.2026</w:t>
            </w:r>
          </w:p>
        </w:tc>
        <w:tc>
          <w:tcPr>
            <w:tcW w:type="dxa" w:w="4536"/>
          </w:tcPr>
          <w:p>
            <w:r>
              <w:rPr>
                <w:rFonts w:ascii="Times New Roman" w:hAnsi="Times New Roman"/>
                <w:sz w:val="20"/>
              </w:rPr>
              <w:t>Sanierungsbeginn Schimmel (sofern Mieter zustimmen)</w:t>
            </w:r>
          </w:p>
        </w:tc>
      </w:tr>
      <w:tr>
        <w:tc>
          <w:tcPr>
            <w:tcW w:type="dxa" w:w="4536"/>
          </w:tcPr>
          <w:p>
            <w:r>
              <w:rPr>
                <w:rFonts w:ascii="Times New Roman" w:hAnsi="Times New Roman"/>
                <w:sz w:val="20"/>
              </w:rPr>
              <w:t>20.05.2026 (geplant)</w:t>
            </w:r>
          </w:p>
        </w:tc>
        <w:tc>
          <w:tcPr>
            <w:tcW w:type="dxa" w:w="4536"/>
          </w:tcPr>
          <w:p>
            <w:r>
              <w:rPr>
                <w:rFonts w:ascii="Times New Roman" w:hAnsi="Times New Roman"/>
                <w:sz w:val="20"/>
              </w:rPr>
              <w:t>Einreichung Räumungsklage AG Köln</w:t>
            </w:r>
          </w:p>
        </w:tc>
      </w:tr>
      <w:tr>
        <w:tc>
          <w:tcPr>
            <w:tcW w:type="dxa" w:w="4536"/>
          </w:tcPr>
          <w:p>
            <w:r>
              <w:rPr>
                <w:rFonts w:ascii="Times New Roman" w:hAnsi="Times New Roman"/>
                <w:sz w:val="20"/>
              </w:rPr>
              <w:t>31.05.2026</w:t>
            </w:r>
          </w:p>
        </w:tc>
        <w:tc>
          <w:tcPr>
            <w:tcW w:type="dxa" w:w="4536"/>
          </w:tcPr>
          <w:p>
            <w:r>
              <w:rPr>
                <w:rFonts w:ascii="Times New Roman" w:hAnsi="Times New Roman"/>
                <w:sz w:val="20"/>
              </w:rPr>
              <w:t>Fälligst 1. Rate Sonderumlage (19.880 EUR, davon 9.940 EUR zum 01.06.)</w:t>
            </w:r>
          </w:p>
        </w:tc>
      </w:tr>
      <w:tr>
        <w:tc>
          <w:tcPr>
            <w:tcW w:type="dxa" w:w="4536"/>
          </w:tcPr>
          <w:p>
            <w:r>
              <w:rPr>
                <w:rFonts w:ascii="Times New Roman" w:hAnsi="Times New Roman"/>
                <w:sz w:val="20"/>
              </w:rPr>
              <w:t>30.06.2026</w:t>
            </w:r>
          </w:p>
        </w:tc>
        <w:tc>
          <w:tcPr>
            <w:tcW w:type="dxa" w:w="4536"/>
          </w:tcPr>
          <w:p>
            <w:r>
              <w:rPr>
                <w:rFonts w:ascii="Times New Roman" w:hAnsi="Times New Roman"/>
                <w:sz w:val="20"/>
              </w:rPr>
              <w:t>Geplante Fertigstellung Schimmelsanierung</w:t>
            </w:r>
          </w:p>
        </w:tc>
      </w:tr>
      <w:tr>
        <w:tc>
          <w:tcPr>
            <w:tcW w:type="dxa" w:w="4536"/>
          </w:tcPr>
          <w:p>
            <w:r>
              <w:rPr>
                <w:rFonts w:ascii="Times New Roman" w:hAnsi="Times New Roman"/>
                <w:sz w:val="20"/>
              </w:rPr>
              <w:t>August 2026</w:t>
            </w:r>
          </w:p>
        </w:tc>
        <w:tc>
          <w:tcPr>
            <w:tcW w:type="dxa" w:w="4536"/>
          </w:tcPr>
          <w:p>
            <w:r>
              <w:rPr>
                <w:rFonts w:ascii="Times New Roman" w:hAnsi="Times New Roman"/>
                <w:sz w:val="20"/>
              </w:rPr>
              <w:t>Ergebnis Bergrecht-Gutachten</w:t>
            </w:r>
          </w:p>
        </w:tc>
      </w:tr>
    </w:tbl>
    <w:p/>
    <w:p>
      <w:pPr>
        <w:jc w:val="left"/>
      </w:pPr>
      <w:r>
        <w:t>Ich stehe für Rückfragen jederzeit zur Verfügung.</w:t>
      </w:r>
    </w:p>
    <w:p>
      <w:pPr>
        <w:jc w:val="left"/>
      </w:pPr>
      <w:r>
        <w:t>Mit freundlichen Grüßen</w:t>
      </w:r>
    </w:p>
    <w:p>
      <w:pPr>
        <w:jc w:val="left"/>
      </w:pPr>
      <w:r>
        <w:rPr>
          <w:b/>
        </w:rPr>
        <w:t>Vanessa Hauck-Brüggemann</w:t>
      </w:r>
    </w:p>
    <w:p>
      <w:pPr>
        <w:jc w:val="left"/>
      </w:pPr>
      <w:r>
        <w:t>Rechtsanwältin, Fachanwältin für Miet- und WEG-Recht</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